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DoorDash, Inc. (DASH)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DoorDash, Inc.</w:t>
            </w:r>
          </w:p>
        </w:tc>
        <w:tc>
          <w:tcPr>
            <w:tcW w:type="dxa" w:w="2160"/>
          </w:tcPr>
          <w:p>
            <w:r>
              <w:rPr>
                <w:rFonts w:ascii="Calibri" w:hAnsi="Calibri"/>
                <w:b/>
                <w:sz w:val="22"/>
              </w:rPr>
              <w:t>Earnings Date</w:t>
            </w:r>
          </w:p>
        </w:tc>
        <w:tc>
          <w:tcPr>
            <w:tcW w:type="dxa" w:w="2160"/>
          </w:tcPr>
          <w:p>
            <w:r>
              <w:rPr>
                <w:rFonts w:ascii="Calibri" w:hAnsi="Calibri"/>
                <w:sz w:val="22"/>
              </w:rPr>
              <w:t>August 5, 2026 (After Market Close)</w:t>
            </w:r>
          </w:p>
        </w:tc>
      </w:tr>
      <w:tr>
        <w:tc>
          <w:tcPr>
            <w:tcW w:type="dxa" w:w="2160"/>
          </w:tcPr>
          <w:p>
            <w:r>
              <w:rPr>
                <w:rFonts w:ascii="Calibri" w:hAnsi="Calibri"/>
                <w:b/>
                <w:sz w:val="22"/>
              </w:rPr>
              <w:t>Ticker</w:t>
            </w:r>
          </w:p>
        </w:tc>
        <w:tc>
          <w:tcPr>
            <w:tcW w:type="dxa" w:w="2160"/>
          </w:tcPr>
          <w:p>
            <w:r>
              <w:rPr>
                <w:rFonts w:ascii="Calibri" w:hAnsi="Calibri"/>
                <w:sz w:val="22"/>
              </w:rPr>
              <w:t>NASDAQ: DASH</w:t>
            </w:r>
          </w:p>
        </w:tc>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r>
      <w:tr>
        <w:tc>
          <w:tcPr>
            <w:tcW w:type="dxa" w:w="2160"/>
          </w:tcPr>
          <w:p>
            <w:r>
              <w:rPr>
                <w:rFonts w:ascii="Calibri" w:hAnsi="Calibri"/>
                <w:b/>
                <w:sz w:val="22"/>
              </w:rPr>
              <w:t>Prepared</w:t>
            </w:r>
          </w:p>
        </w:tc>
        <w:tc>
          <w:tcPr>
            <w:tcW w:type="dxa" w:w="2160"/>
          </w:tcPr>
          <w:p>
            <w:r>
              <w:rPr>
                <w:rFonts w:ascii="Calibri" w:hAnsi="Calibri"/>
                <w:sz w:val="22"/>
              </w:rPr>
              <w:t>August 4, 2026</w:t>
            </w:r>
          </w:p>
        </w:tc>
        <w:tc>
          <w:tcPr>
            <w:tcW w:type="dxa" w:w="2160"/>
          </w:tcPr>
          <w:p>
            <w:r>
              <w:rPr>
                <w:rFonts w:ascii="Calibri" w:hAnsi="Calibri"/>
                <w:b/>
                <w:sz w:val="22"/>
              </w:rPr>
              <w:t>Last Earnings</w:t>
            </w:r>
          </w:p>
        </w:tc>
        <w:tc>
          <w:tcPr>
            <w:tcW w:type="dxa" w:w="2160"/>
          </w:tcPr>
          <w:p>
            <w:r>
              <w:rPr>
                <w:rFonts w:ascii="Calibri" w:hAnsi="Calibri"/>
                <w:sz w:val="22"/>
              </w:rPr>
              <w:t>May 6,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 consensus GOV of ~$32.9B sits comfortably inside DASH's own guided range of $32.4–$33.4B, leaving room for an in-line-to-beat print; the single biggest swing factor is whether the Dasher gas relief program is extended beyond Q2 and how management frames the H2 EBITDA ramp.</w:t>
      </w:r>
    </w:p>
    <w:p>
      <w:r>
        <w:rPr>
          <w:rFonts w:ascii="Calibri" w:hAnsi="Calibri"/>
          <w:color w:val="525866"/>
          <w:sz w:val="22"/>
        </w:rPr>
        <w:t xml:space="preserve">Heading into Q2 2026 results, the bar looks manageable: consensus Marketplace GOV of ~$32.9B is essentially at the midpoint of the company's own $32.4–$33.4B guidance range, and consensus Adjusted EBITDA of ~$843M implies a meaningful sequential step-up from Q1's $754M actual — a trajectory management explicitly endorsed when it guided for higher H2 EBITDA dollars and margins. </w:t>
      </w:r>
      <w:r>
        <w:rPr>
          <w:rFonts w:ascii="Calibri" w:hAnsi="Calibri"/>
          <w:b/>
          <w:color w:val="525866"/>
          <w:sz w:val="22"/>
        </w:rPr>
        <w:t>Management's tone on the Q1 call was notably confident</w:t>
      </w:r>
      <w:r>
        <w:rPr>
          <w:rFonts w:ascii="Calibri" w:hAnsi="Calibri"/>
          <w:color w:val="525866"/>
          <w:sz w:val="22"/>
        </w:rPr>
        <w:t xml:space="preserve"> — record MAUs, record DashPass/Wolt+/Deliveroo membership signups, Deliveroo re-accelerating to its highest growth rate in four years, and new verticals tracking toward gross profit positive in H2 — all of which set a high-quality backdrop for Q2 execution. Estimate revisions since the Q1 print have been essentially flat (GOV consensus moved from $32.90B to $32.92B, EBITDA from $840.7M to $843.3M), suggesting the Street has largely digested guidance and is not pricing in incremental upside or downside. The stock has rallied ~20.5% since the Q1 earnings date (vs. S&amp;P 500 +5.1% and ARKK -3.5%), meaning DASH has already priced in a solid execution quarter and the multiple is elevated — a clean beat is needed to sustain momentum rather than drive a fresh re-rating. The key wildcard is the </w:t>
      </w:r>
      <w:r>
        <w:rPr>
          <w:rFonts w:ascii="Calibri" w:hAnsi="Calibri"/>
          <w:b/>
          <w:color w:val="525866"/>
          <w:sz w:val="22"/>
        </w:rPr>
        <w:t>Dasher gas relief program</w:t>
      </w:r>
      <w:r>
        <w:rPr>
          <w:rFonts w:ascii="Calibri" w:hAnsi="Calibri"/>
          <w:color w:val="525866"/>
          <w:sz w:val="22"/>
        </w:rPr>
        <w:t>: management guided ~$50M gross cost in Q2 (same as Q1) and said it found offsets by pushing H1 investments to H2, but has not yet decided whether to extend the program into Q3 — any extension announcement alongside results could pressure the H2 EBITDA ramp narrative and be the primary source of downside surprise even if the Q2 print itself is clean.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 GOV guidance midpoint ($32.9B) essentially equals the Street estimate, while Adjusted EBITDA consensus ($843M) implies a ~12% sequential step-up that management has explicitly committed to; </w:t>
      </w:r>
      <w:r>
        <w:rPr>
          <w:rFonts w:ascii="Calibri" w:hAnsi="Calibri"/>
          <w:b/>
          <w:color w:val="525866"/>
          <w:sz w:val="22"/>
        </w:rPr>
        <w:t>Marketplace GOV is the bigger swing factor</w:t>
      </w:r>
      <w:r>
        <w:rPr>
          <w:rFonts w:ascii="Calibri" w:hAnsi="Calibri"/>
          <w:color w:val="525866"/>
          <w:sz w:val="22"/>
        </w:rPr>
        <w:t xml:space="preserve"> given it drives the revenue and EBITDA cascade, and any upside there (aided by Deliveroo re-acceleration and new verticals momentum) would be the primary beat driver.</w:t>
      </w:r>
    </w:p>
    <w:p>
      <w:r>
        <w:rPr>
          <w:rFonts w:ascii="Calibri" w:hAnsi="Calibri"/>
          <w:b/>
          <w:color w:val="525866"/>
          <w:sz w:val="22"/>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Qtr Actual (Q1 2026)</w:t>
            </w:r>
          </w:p>
        </w:tc>
        <w:tc>
          <w:tcPr>
            <w:tcW w:type="dxa" w:w="1234"/>
            <w:shd w:val="clear" w:color="auto" w:fill="3B4259"/>
          </w:tcPr>
          <w:p>
            <w:r>
              <w:rPr>
                <w:rFonts w:ascii="Calibri" w:hAnsi="Calibri"/>
                <w:b/>
                <w:color w:val="FFFFFF"/>
                <w:sz w:val="22"/>
              </w:rPr>
              <w:t>Prior Year (Q2 2025)</w:t>
            </w:r>
          </w:p>
        </w:tc>
        <w:tc>
          <w:tcPr>
            <w:tcW w:type="dxa" w:w="1234"/>
            <w:shd w:val="clear" w:color="auto" w:fill="3B4259"/>
          </w:tcPr>
          <w:p>
            <w:r>
              <w:rPr>
                <w:rFonts w:ascii="Calibri" w:hAnsi="Calibri"/>
                <w:b/>
                <w:color w:val="FFFFFF"/>
                <w:sz w:val="22"/>
              </w:rPr>
              <w:t>Consensus Estimate (Q2 2026)</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 vs. Guidance Midpoint</w:t>
            </w:r>
          </w:p>
        </w:tc>
      </w:tr>
      <w:tr>
        <w:tc>
          <w:tcPr>
            <w:tcW w:type="dxa" w:w="1234"/>
          </w:tcPr>
          <w:p>
            <w:r>
              <w:rPr>
                <w:rFonts w:ascii="Calibri" w:hAnsi="Calibri"/>
                <w:sz w:val="22"/>
              </w:rPr>
              <w:t>Marketplace GOV</w:t>
            </w:r>
          </w:p>
        </w:tc>
        <w:tc>
          <w:tcPr>
            <w:tcW w:type="dxa" w:w="1234"/>
          </w:tcPr>
          <w:p>
            <w:r>
              <w:rPr>
                <w:rFonts w:ascii="Calibri" w:hAnsi="Calibri"/>
                <w:sz w:val="22"/>
              </w:rPr>
              <w:t>$31.6B</w:t>
            </w:r>
          </w:p>
        </w:tc>
        <w:tc>
          <w:tcPr>
            <w:tcW w:type="dxa" w:w="1234"/>
          </w:tcPr>
          <w:p>
            <w:r>
              <w:rPr>
                <w:rFonts w:ascii="Calibri" w:hAnsi="Calibri"/>
                <w:sz w:val="22"/>
              </w:rPr>
              <w:t>$24.2B</w:t>
            </w:r>
          </w:p>
        </w:tc>
        <w:tc>
          <w:tcPr>
            <w:tcW w:type="dxa" w:w="1234"/>
          </w:tcPr>
          <w:p>
            <w:r>
              <w:rPr>
                <w:rFonts w:ascii="Calibri" w:hAnsi="Calibri"/>
                <w:sz w:val="22"/>
              </w:rPr>
              <w:t>$32.9B</w:t>
            </w:r>
          </w:p>
        </w:tc>
        <w:tc>
          <w:tcPr>
            <w:tcW w:type="dxa" w:w="1234"/>
          </w:tcPr>
          <w:p>
            <w:r>
              <w:rPr>
                <w:rFonts w:ascii="Calibri" w:hAnsi="Calibri"/>
                <w:sz w:val="22"/>
              </w:rPr>
              <w:t>+35.8%</w:t>
            </w:r>
          </w:p>
        </w:tc>
        <w:tc>
          <w:tcPr>
            <w:tcW w:type="dxa" w:w="1234"/>
          </w:tcPr>
          <w:p>
            <w:r>
              <w:rPr>
                <w:rFonts w:ascii="Calibri" w:hAnsi="Calibri"/>
                <w:sz w:val="22"/>
              </w:rPr>
              <w:t>$32.4B–$33.4B</w:t>
            </w:r>
          </w:p>
        </w:tc>
        <w:tc>
          <w:tcPr>
            <w:tcW w:type="dxa" w:w="1234"/>
          </w:tcPr>
          <w:p>
            <w:r>
              <w:rPr>
                <w:rFonts w:ascii="Calibri" w:hAnsi="Calibri"/>
                <w:sz w:val="22"/>
              </w:rPr>
              <w:t>-0.3% vs. $32.9B mid</w:t>
            </w:r>
          </w:p>
        </w:tc>
      </w:tr>
      <w:tr>
        <w:tc>
          <w:tcPr>
            <w:tcW w:type="dxa" w:w="1234"/>
          </w:tcPr>
          <w:p>
            <w:r>
              <w:rPr>
                <w:rFonts w:ascii="Calibri" w:hAnsi="Calibri"/>
                <w:sz w:val="22"/>
              </w:rPr>
              <w:t>Revenue</w:t>
            </w:r>
          </w:p>
        </w:tc>
        <w:tc>
          <w:tcPr>
            <w:tcW w:type="dxa" w:w="1234"/>
          </w:tcPr>
          <w:p>
            <w:r>
              <w:rPr>
                <w:rFonts w:ascii="Calibri" w:hAnsi="Calibri"/>
                <w:sz w:val="22"/>
              </w:rPr>
              <w:t>$4.04B</w:t>
            </w:r>
          </w:p>
        </w:tc>
        <w:tc>
          <w:tcPr>
            <w:tcW w:type="dxa" w:w="1234"/>
          </w:tcPr>
          <w:p>
            <w:r>
              <w:rPr>
                <w:rFonts w:ascii="Calibri" w:hAnsi="Calibri"/>
                <w:sz w:val="22"/>
              </w:rPr>
              <w:t>$3.28B</w:t>
            </w:r>
          </w:p>
        </w:tc>
        <w:tc>
          <w:tcPr>
            <w:tcW w:type="dxa" w:w="1234"/>
          </w:tcPr>
          <w:p>
            <w:r>
              <w:rPr>
                <w:rFonts w:ascii="Calibri" w:hAnsi="Calibri"/>
                <w:sz w:val="22"/>
              </w:rPr>
              <w:t>$4.35B</w:t>
            </w:r>
          </w:p>
        </w:tc>
        <w:tc>
          <w:tcPr>
            <w:tcW w:type="dxa" w:w="1234"/>
          </w:tcPr>
          <w:p>
            <w:r>
              <w:rPr>
                <w:rFonts w:ascii="Calibri" w:hAnsi="Calibri"/>
                <w:sz w:val="22"/>
              </w:rPr>
              <w:t>+32.5%</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Adjusted EBITDA</w:t>
            </w:r>
          </w:p>
        </w:tc>
        <w:tc>
          <w:tcPr>
            <w:tcW w:type="dxa" w:w="1234"/>
          </w:tcPr>
          <w:p>
            <w:r>
              <w:rPr>
                <w:rFonts w:ascii="Calibri" w:hAnsi="Calibri"/>
                <w:sz w:val="22"/>
              </w:rPr>
              <w:t>$754M</w:t>
            </w:r>
          </w:p>
        </w:tc>
        <w:tc>
          <w:tcPr>
            <w:tcW w:type="dxa" w:w="1234"/>
          </w:tcPr>
          <w:p>
            <w:r>
              <w:rPr>
                <w:rFonts w:ascii="Calibri" w:hAnsi="Calibri"/>
                <w:sz w:val="22"/>
              </w:rPr>
              <w:t>$655M</w:t>
            </w:r>
          </w:p>
        </w:tc>
        <w:tc>
          <w:tcPr>
            <w:tcW w:type="dxa" w:w="1234"/>
          </w:tcPr>
          <w:p>
            <w:r>
              <w:rPr>
                <w:rFonts w:ascii="Calibri" w:hAnsi="Calibri"/>
                <w:sz w:val="22"/>
              </w:rPr>
              <w:t>$843M</w:t>
            </w:r>
          </w:p>
        </w:tc>
        <w:tc>
          <w:tcPr>
            <w:tcW w:type="dxa" w:w="1234"/>
          </w:tcPr>
          <w:p>
            <w:r>
              <w:rPr>
                <w:rFonts w:ascii="Calibri" w:hAnsi="Calibri"/>
                <w:sz w:val="22"/>
              </w:rPr>
              <w:t>+28.7%</w:t>
            </w:r>
          </w:p>
        </w:tc>
        <w:tc>
          <w:tcPr>
            <w:tcW w:type="dxa" w:w="1234"/>
          </w:tcPr>
          <w:p>
            <w:r>
              <w:rPr>
                <w:rFonts w:ascii="Calibri" w:hAnsi="Calibri"/>
                <w:sz w:val="22"/>
              </w:rPr>
              <w:t>No explicit Q2 range; H2 &gt; H1 guided</w:t>
            </w:r>
          </w:p>
        </w:tc>
        <w:tc>
          <w:tcPr>
            <w:tcW w:type="dxa" w:w="1234"/>
          </w:tcPr>
          <w:p>
            <w:r>
              <w:rPr>
                <w:rFonts w:ascii="Calibri" w:hAnsi="Calibri"/>
                <w:sz w:val="22"/>
              </w:rPr>
              <w:t>N/A</w:t>
            </w:r>
          </w:p>
        </w:tc>
      </w:tr>
      <w:tr>
        <w:tc>
          <w:tcPr>
            <w:tcW w:type="dxa" w:w="1234"/>
          </w:tcPr>
          <w:p>
            <w:r>
              <w:rPr>
                <w:rFonts w:ascii="Calibri" w:hAnsi="Calibri"/>
                <w:sz w:val="22"/>
              </w:rPr>
              <w:t>Adj. EBITDA Margin (% of GOV)</w:t>
            </w:r>
          </w:p>
        </w:tc>
        <w:tc>
          <w:tcPr>
            <w:tcW w:type="dxa" w:w="1234"/>
          </w:tcPr>
          <w:p>
            <w:r>
              <w:rPr>
                <w:rFonts w:ascii="Calibri" w:hAnsi="Calibri"/>
                <w:sz w:val="22"/>
              </w:rPr>
              <w:t>18.7%</w:t>
            </w:r>
          </w:p>
        </w:tc>
        <w:tc>
          <w:tcPr>
            <w:tcW w:type="dxa" w:w="1234"/>
          </w:tcPr>
          <w:p>
            <w:r>
              <w:rPr>
                <w:rFonts w:ascii="Calibri" w:hAnsi="Calibri"/>
                <w:sz w:val="22"/>
              </w:rPr>
              <w:t>19.9%</w:t>
            </w:r>
          </w:p>
        </w:tc>
        <w:tc>
          <w:tcPr>
            <w:tcW w:type="dxa" w:w="1234"/>
          </w:tcPr>
          <w:p>
            <w:r>
              <w:rPr>
                <w:rFonts w:ascii="Calibri" w:hAnsi="Calibri"/>
                <w:sz w:val="22"/>
              </w:rPr>
              <w:t>19.4%</w:t>
            </w:r>
          </w:p>
        </w:tc>
        <w:tc>
          <w:tcPr>
            <w:tcW w:type="dxa" w:w="1234"/>
          </w:tcPr>
          <w:p>
            <w:r>
              <w:rPr>
                <w:rFonts w:ascii="Calibri" w:hAnsi="Calibri"/>
                <w:sz w:val="22"/>
              </w:rPr>
              <w:t>-50 bps YoY</w:t>
            </w:r>
          </w:p>
        </w:tc>
        <w:tc>
          <w:tcPr>
            <w:tcW w:type="dxa" w:w="1234"/>
          </w:tcPr>
          <w:p>
            <w:r>
              <w:rPr>
                <w:rFonts w:ascii="Calibri" w:hAnsi="Calibri"/>
                <w:sz w:val="22"/>
              </w:rPr>
              <w:t>FY slightly higher vs. 2025 ex-GOV</w:t>
            </w:r>
          </w:p>
        </w:tc>
        <w:tc>
          <w:tcPr>
            <w:tcW w:type="dxa" w:w="1234"/>
          </w:tcPr>
          <w:p>
            <w:r>
              <w:rPr>
                <w:rFonts w:ascii="Calibri" w:hAnsi="Calibri"/>
                <w:sz w:val="22"/>
              </w:rPr>
              <w:t>N/A</w:t>
            </w:r>
          </w:p>
        </w:tc>
      </w:tr>
      <w:tr>
        <w:tc>
          <w:tcPr>
            <w:tcW w:type="dxa" w:w="1234"/>
          </w:tcPr>
          <w:p>
            <w:r>
              <w:rPr>
                <w:rFonts w:ascii="Calibri" w:hAnsi="Calibri"/>
                <w:sz w:val="22"/>
              </w:rPr>
              <w:t>Total Orders</w:t>
            </w:r>
          </w:p>
        </w:tc>
        <w:tc>
          <w:tcPr>
            <w:tcW w:type="dxa" w:w="1234"/>
          </w:tcPr>
          <w:p>
            <w:r>
              <w:rPr>
                <w:rFonts w:ascii="Calibri" w:hAnsi="Calibri"/>
                <w:sz w:val="22"/>
              </w:rPr>
              <w:t>933M</w:t>
            </w:r>
          </w:p>
        </w:tc>
        <w:tc>
          <w:tcPr>
            <w:tcW w:type="dxa" w:w="1234"/>
          </w:tcPr>
          <w:p>
            <w:r>
              <w:rPr>
                <w:rFonts w:ascii="Calibri" w:hAnsi="Calibri"/>
                <w:sz w:val="22"/>
              </w:rPr>
              <w:t>761M</w:t>
            </w:r>
          </w:p>
        </w:tc>
        <w:tc>
          <w:tcPr>
            <w:tcW w:type="dxa" w:w="1234"/>
          </w:tcPr>
          <w:p>
            <w:r>
              <w:rPr>
                <w:rFonts w:ascii="Calibri" w:hAnsi="Calibri"/>
                <w:sz w:val="22"/>
              </w:rPr>
              <w:t>968M</w:t>
            </w:r>
          </w:p>
        </w:tc>
        <w:tc>
          <w:tcPr>
            <w:tcW w:type="dxa" w:w="1234"/>
          </w:tcPr>
          <w:p>
            <w:r>
              <w:rPr>
                <w:rFonts w:ascii="Calibri" w:hAnsi="Calibri"/>
                <w:sz w:val="22"/>
              </w:rPr>
              <w:t>+27.2%</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Monthly Active Customers (MAUs)</w:t>
            </w:r>
          </w:p>
        </w:tc>
        <w:tc>
          <w:tcPr>
            <w:tcW w:type="dxa" w:w="1234"/>
          </w:tcPr>
          <w:p>
            <w:r>
              <w:rPr>
                <w:rFonts w:ascii="Calibri" w:hAnsi="Calibri"/>
                <w:sz w:val="22"/>
              </w:rPr>
              <w:t>52.9M</w:t>
            </w:r>
          </w:p>
        </w:tc>
        <w:tc>
          <w:tcPr>
            <w:tcW w:type="dxa" w:w="1234"/>
          </w:tcPr>
          <w:p>
            <w:r>
              <w:rPr>
                <w:rFonts w:ascii="Calibri" w:hAnsi="Calibri"/>
                <w:sz w:val="22"/>
              </w:rPr>
              <w:t>45.0M</w:t>
            </w:r>
          </w:p>
        </w:tc>
        <w:tc>
          <w:tcPr>
            <w:tcW w:type="dxa" w:w="1234"/>
          </w:tcPr>
          <w:p>
            <w:r>
              <w:rPr>
                <w:rFonts w:ascii="Calibri" w:hAnsi="Calibri"/>
                <w:sz w:val="22"/>
              </w:rPr>
              <w:t>54.7M</w:t>
            </w:r>
          </w:p>
        </w:tc>
        <w:tc>
          <w:tcPr>
            <w:tcW w:type="dxa" w:w="1234"/>
          </w:tcPr>
          <w:p>
            <w:r>
              <w:rPr>
                <w:rFonts w:ascii="Calibri" w:hAnsi="Calibri"/>
                <w:sz w:val="22"/>
              </w:rPr>
              <w:t>+21.6%</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Take Rate</w:t>
            </w:r>
          </w:p>
        </w:tc>
        <w:tc>
          <w:tcPr>
            <w:tcW w:type="dxa" w:w="1234"/>
          </w:tcPr>
          <w:p>
            <w:r>
              <w:rPr>
                <w:rFonts w:ascii="Calibri" w:hAnsi="Calibri"/>
                <w:sz w:val="22"/>
              </w:rPr>
              <w:t>12.8%</w:t>
            </w:r>
          </w:p>
        </w:tc>
        <w:tc>
          <w:tcPr>
            <w:tcW w:type="dxa" w:w="1234"/>
          </w:tcPr>
          <w:p>
            <w:r>
              <w:rPr>
                <w:rFonts w:ascii="Calibri" w:hAnsi="Calibri"/>
                <w:sz w:val="22"/>
              </w:rPr>
              <w:t>13.5%</w:t>
            </w:r>
          </w:p>
        </w:tc>
        <w:tc>
          <w:tcPr>
            <w:tcW w:type="dxa" w:w="1234"/>
          </w:tcPr>
          <w:p>
            <w:r>
              <w:rPr>
                <w:rFonts w:ascii="Calibri" w:hAnsi="Calibri"/>
                <w:sz w:val="22"/>
              </w:rPr>
              <w:t>13.2%</w:t>
            </w:r>
          </w:p>
        </w:tc>
        <w:tc>
          <w:tcPr>
            <w:tcW w:type="dxa" w:w="1234"/>
          </w:tcPr>
          <w:p>
            <w:r>
              <w:rPr>
                <w:rFonts w:ascii="Calibri" w:hAnsi="Calibri"/>
                <w:sz w:val="22"/>
              </w:rPr>
              <w:t>-30 bps YoY</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Contribution Profit</w:t>
            </w:r>
          </w:p>
        </w:tc>
        <w:tc>
          <w:tcPr>
            <w:tcW w:type="dxa" w:w="1234"/>
          </w:tcPr>
          <w:p>
            <w:r>
              <w:rPr>
                <w:rFonts w:ascii="Calibri" w:hAnsi="Calibri"/>
                <w:sz w:val="22"/>
              </w:rPr>
              <w:t>$1.38B</w:t>
            </w:r>
          </w:p>
        </w:tc>
        <w:tc>
          <w:tcPr>
            <w:tcW w:type="dxa" w:w="1234"/>
          </w:tcPr>
          <w:p>
            <w:r>
              <w:rPr>
                <w:rFonts w:ascii="Calibri" w:hAnsi="Calibri"/>
                <w:sz w:val="22"/>
              </w:rPr>
              <w:t>$1.15B</w:t>
            </w:r>
          </w:p>
        </w:tc>
        <w:tc>
          <w:tcPr>
            <w:tcW w:type="dxa" w:w="1234"/>
          </w:tcPr>
          <w:p>
            <w:r>
              <w:rPr>
                <w:rFonts w:ascii="Calibri" w:hAnsi="Calibri"/>
                <w:sz w:val="22"/>
              </w:rPr>
              <w:t>$1.52B</w:t>
            </w:r>
          </w:p>
        </w:tc>
        <w:tc>
          <w:tcPr>
            <w:tcW w:type="dxa" w:w="1234"/>
          </w:tcPr>
          <w:p>
            <w:r>
              <w:rPr>
                <w:rFonts w:ascii="Calibri" w:hAnsi="Calibri"/>
                <w:sz w:val="22"/>
              </w:rPr>
              <w:t>+32.2%</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EPS — Diluted Operating</w:t>
            </w:r>
          </w:p>
        </w:tc>
        <w:tc>
          <w:tcPr>
            <w:tcW w:type="dxa" w:w="1234"/>
          </w:tcPr>
          <w:p>
            <w:r>
              <w:rPr>
                <w:rFonts w:ascii="Calibri" w:hAnsi="Calibri"/>
                <w:sz w:val="22"/>
              </w:rPr>
              <w:t>$1.17</w:t>
            </w:r>
          </w:p>
        </w:tc>
        <w:tc>
          <w:tcPr>
            <w:tcW w:type="dxa" w:w="1234"/>
          </w:tcPr>
          <w:p>
            <w:r>
              <w:rPr>
                <w:rFonts w:ascii="Calibri" w:hAnsi="Calibri"/>
                <w:sz w:val="22"/>
              </w:rPr>
              <w:t>$1.41</w:t>
            </w:r>
          </w:p>
        </w:tc>
        <w:tc>
          <w:tcPr>
            <w:tcW w:type="dxa" w:w="1234"/>
          </w:tcPr>
          <w:p>
            <w:r>
              <w:rPr>
                <w:rFonts w:ascii="Calibri" w:hAnsi="Calibri"/>
                <w:sz w:val="22"/>
              </w:rPr>
              <w:t>$1.34</w:t>
            </w:r>
          </w:p>
        </w:tc>
        <w:tc>
          <w:tcPr>
            <w:tcW w:type="dxa" w:w="1234"/>
          </w:tcPr>
          <w:p>
            <w:r>
              <w:rPr>
                <w:rFonts w:ascii="Calibri" w:hAnsi="Calibri"/>
                <w:sz w:val="22"/>
              </w:rPr>
              <w:t>-4.9% YoY</w:t>
            </w:r>
          </w:p>
        </w:tc>
        <w:tc>
          <w:tcPr>
            <w:tcW w:type="dxa" w:w="1234"/>
          </w:tcPr>
          <w:p>
            <w:r>
              <w:rPr>
                <w:rFonts w:ascii="Calibri" w:hAnsi="Calibri"/>
                <w:sz w:val="22"/>
              </w:rPr>
              <w:t>No explicit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All Q2 2026 figures are consensus estimates as of August 4, 2026. Q1 2026 actuals and Q2 2025 actuals sourced from Visible Alpha reported figures.</w:t>
      </w:r>
    </w:p>
    <w:p>
      <w:r>
        <w:rPr>
          <w:rFonts w:ascii="Calibri" w:hAnsi="Calibri"/>
          <w:b/>
          <w:color w:val="525866"/>
          <w:sz w:val="22"/>
        </w:rPr>
        <w:t>Table 2 — Beat/Miss History: Marketplace GOV &amp; Adjusted EBITDA (Last 8 Quarters)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Quarter</w:t>
            </w:r>
          </w:p>
        </w:tc>
        <w:tc>
          <w:tcPr>
            <w:tcW w:type="dxa" w:w="1234"/>
            <w:shd w:val="clear" w:color="auto" w:fill="3B4259"/>
          </w:tcPr>
          <w:p>
            <w:r>
              <w:rPr>
                <w:rFonts w:ascii="Calibri" w:hAnsi="Calibri"/>
                <w:b/>
                <w:color w:val="FFFFFF"/>
                <w:sz w:val="22"/>
              </w:rPr>
              <w:t>GOV Reported</w:t>
            </w:r>
          </w:p>
        </w:tc>
        <w:tc>
          <w:tcPr>
            <w:tcW w:type="dxa" w:w="1234"/>
            <w:shd w:val="clear" w:color="auto" w:fill="3B4259"/>
          </w:tcPr>
          <w:p>
            <w:r>
              <w:rPr>
                <w:rFonts w:ascii="Calibri" w:hAnsi="Calibri"/>
                <w:b/>
                <w:color w:val="FFFFFF"/>
                <w:sz w:val="22"/>
              </w:rPr>
              <w:t>GOV Consensus</w:t>
            </w:r>
          </w:p>
        </w:tc>
        <w:tc>
          <w:tcPr>
            <w:tcW w:type="dxa" w:w="1234"/>
            <w:shd w:val="clear" w:color="auto" w:fill="3B4259"/>
          </w:tcPr>
          <w:p>
            <w:r>
              <w:rPr>
                <w:rFonts w:ascii="Calibri" w:hAnsi="Calibri"/>
                <w:b/>
                <w:color w:val="FFFFFF"/>
                <w:sz w:val="22"/>
              </w:rPr>
              <w:t>GOV Surprise</w:t>
            </w:r>
          </w:p>
        </w:tc>
        <w:tc>
          <w:tcPr>
            <w:tcW w:type="dxa" w:w="1234"/>
            <w:shd w:val="clear" w:color="auto" w:fill="3B4259"/>
          </w:tcPr>
          <w:p>
            <w:r>
              <w:rPr>
                <w:rFonts w:ascii="Calibri" w:hAnsi="Calibri"/>
                <w:b/>
                <w:color w:val="FFFFFF"/>
                <w:sz w:val="22"/>
              </w:rPr>
              <w:t>EBITDA Reported</w:t>
            </w:r>
          </w:p>
        </w:tc>
        <w:tc>
          <w:tcPr>
            <w:tcW w:type="dxa" w:w="1234"/>
            <w:shd w:val="clear" w:color="auto" w:fill="3B4259"/>
          </w:tcPr>
          <w:p>
            <w:r>
              <w:rPr>
                <w:rFonts w:ascii="Calibri" w:hAnsi="Calibri"/>
                <w:b/>
                <w:color w:val="FFFFFF"/>
                <w:sz w:val="22"/>
              </w:rPr>
              <w:t>EBITDA Consensus</w:t>
            </w:r>
          </w:p>
        </w:tc>
        <w:tc>
          <w:tcPr>
            <w:tcW w:type="dxa" w:w="1234"/>
            <w:shd w:val="clear" w:color="auto" w:fill="3B4259"/>
          </w:tcPr>
          <w:p>
            <w:r>
              <w:rPr>
                <w:rFonts w:ascii="Calibri" w:hAnsi="Calibri"/>
                <w:b/>
                <w:color w:val="FFFFFF"/>
                <w:sz w:val="22"/>
              </w:rPr>
              <w:t>EBITDA Surprise</w:t>
            </w:r>
          </w:p>
        </w:tc>
      </w:tr>
      <w:tr>
        <w:tc>
          <w:tcPr>
            <w:tcW w:type="dxa" w:w="1234"/>
          </w:tcPr>
          <w:p>
            <w:r>
              <w:rPr>
                <w:rFonts w:ascii="Calibri" w:hAnsi="Calibri"/>
                <w:sz w:val="22"/>
              </w:rPr>
              <w:t>Q2 2024</w:t>
            </w:r>
          </w:p>
        </w:tc>
        <w:tc>
          <w:tcPr>
            <w:tcW w:type="dxa" w:w="1234"/>
          </w:tcPr>
          <w:p>
            <w:r>
              <w:rPr>
                <w:rFonts w:ascii="Calibri" w:hAnsi="Calibri"/>
                <w:sz w:val="22"/>
              </w:rPr>
              <w:t>$19.7B</w:t>
            </w:r>
          </w:p>
        </w:tc>
        <w:tc>
          <w:tcPr>
            <w:tcW w:type="dxa" w:w="1234"/>
          </w:tcPr>
          <w:p>
            <w:r>
              <w:rPr>
                <w:rFonts w:ascii="Calibri" w:hAnsi="Calibri"/>
                <w:sz w:val="22"/>
              </w:rPr>
              <w:t>$19.4B</w:t>
            </w:r>
          </w:p>
        </w:tc>
        <w:tc>
          <w:tcPr>
            <w:tcW w:type="dxa" w:w="1234"/>
          </w:tcPr>
          <w:p>
            <w:r>
              <w:rPr>
                <w:rFonts w:ascii="Calibri" w:hAnsi="Calibri"/>
                <w:b/>
                <w:color w:val="30A46C"/>
                <w:sz w:val="22"/>
              </w:rPr>
              <w:t>+1.7%</w:t>
            </w:r>
          </w:p>
        </w:tc>
        <w:tc>
          <w:tcPr>
            <w:tcW w:type="dxa" w:w="1234"/>
          </w:tcPr>
          <w:p>
            <w:r>
              <w:rPr>
                <w:rFonts w:ascii="Calibri" w:hAnsi="Calibri"/>
                <w:sz w:val="22"/>
              </w:rPr>
              <w:t>$430M</w:t>
            </w:r>
          </w:p>
        </w:tc>
        <w:tc>
          <w:tcPr>
            <w:tcW w:type="dxa" w:w="1234"/>
          </w:tcPr>
          <w:p>
            <w:r>
              <w:rPr>
                <w:rFonts w:ascii="Calibri" w:hAnsi="Calibri"/>
                <w:sz w:val="22"/>
              </w:rPr>
              <w:t>$395M</w:t>
            </w:r>
          </w:p>
        </w:tc>
        <w:tc>
          <w:tcPr>
            <w:tcW w:type="dxa" w:w="1234"/>
          </w:tcPr>
          <w:p>
            <w:r>
              <w:rPr>
                <w:rFonts w:ascii="Calibri" w:hAnsi="Calibri"/>
                <w:b/>
                <w:color w:val="30A46C"/>
                <w:sz w:val="22"/>
              </w:rPr>
              <w:t>+8.9%</w:t>
            </w:r>
          </w:p>
        </w:tc>
      </w:tr>
      <w:tr>
        <w:tc>
          <w:tcPr>
            <w:tcW w:type="dxa" w:w="1234"/>
          </w:tcPr>
          <w:p>
            <w:r>
              <w:rPr>
                <w:rFonts w:ascii="Calibri" w:hAnsi="Calibri"/>
                <w:sz w:val="22"/>
              </w:rPr>
              <w:t>Q3 2024</w:t>
            </w:r>
          </w:p>
        </w:tc>
        <w:tc>
          <w:tcPr>
            <w:tcW w:type="dxa" w:w="1234"/>
          </w:tcPr>
          <w:p>
            <w:r>
              <w:rPr>
                <w:rFonts w:ascii="Calibri" w:hAnsi="Calibri"/>
                <w:sz w:val="22"/>
              </w:rPr>
              <w:t>$20.0B</w:t>
            </w:r>
          </w:p>
        </w:tc>
        <w:tc>
          <w:tcPr>
            <w:tcW w:type="dxa" w:w="1234"/>
          </w:tcPr>
          <w:p>
            <w:r>
              <w:rPr>
                <w:rFonts w:ascii="Calibri" w:hAnsi="Calibri"/>
                <w:sz w:val="22"/>
              </w:rPr>
              <w:t>$19.8B</w:t>
            </w:r>
          </w:p>
        </w:tc>
        <w:tc>
          <w:tcPr>
            <w:tcW w:type="dxa" w:w="1234"/>
          </w:tcPr>
          <w:p>
            <w:r>
              <w:rPr>
                <w:rFonts w:ascii="Calibri" w:hAnsi="Calibri"/>
                <w:b/>
                <w:color w:val="30A46C"/>
                <w:sz w:val="22"/>
              </w:rPr>
              <w:t>+1.1%</w:t>
            </w:r>
          </w:p>
        </w:tc>
        <w:tc>
          <w:tcPr>
            <w:tcW w:type="dxa" w:w="1234"/>
          </w:tcPr>
          <w:p>
            <w:r>
              <w:rPr>
                <w:rFonts w:ascii="Calibri" w:hAnsi="Calibri"/>
                <w:sz w:val="22"/>
              </w:rPr>
              <w:t>$533M</w:t>
            </w:r>
          </w:p>
        </w:tc>
        <w:tc>
          <w:tcPr>
            <w:tcW w:type="dxa" w:w="1234"/>
          </w:tcPr>
          <w:p>
            <w:r>
              <w:rPr>
                <w:rFonts w:ascii="Calibri" w:hAnsi="Calibri"/>
                <w:sz w:val="22"/>
              </w:rPr>
              <w:t>$514M</w:t>
            </w:r>
          </w:p>
        </w:tc>
        <w:tc>
          <w:tcPr>
            <w:tcW w:type="dxa" w:w="1234"/>
          </w:tcPr>
          <w:p>
            <w:r>
              <w:rPr>
                <w:rFonts w:ascii="Calibri" w:hAnsi="Calibri"/>
                <w:b/>
                <w:color w:val="30A46C"/>
                <w:sz w:val="22"/>
              </w:rPr>
              <w:t>+3.7%</w:t>
            </w:r>
          </w:p>
        </w:tc>
      </w:tr>
      <w:tr>
        <w:tc>
          <w:tcPr>
            <w:tcW w:type="dxa" w:w="1234"/>
          </w:tcPr>
          <w:p>
            <w:r>
              <w:rPr>
                <w:rFonts w:ascii="Calibri" w:hAnsi="Calibri"/>
                <w:sz w:val="22"/>
              </w:rPr>
              <w:t>Q4 2024</w:t>
            </w:r>
          </w:p>
        </w:tc>
        <w:tc>
          <w:tcPr>
            <w:tcW w:type="dxa" w:w="1234"/>
          </w:tcPr>
          <w:p>
            <w:r>
              <w:rPr>
                <w:rFonts w:ascii="Calibri" w:hAnsi="Calibri"/>
                <w:sz w:val="22"/>
              </w:rPr>
              <w:t>$21.3B</w:t>
            </w:r>
          </w:p>
        </w:tc>
        <w:tc>
          <w:tcPr>
            <w:tcW w:type="dxa" w:w="1234"/>
          </w:tcPr>
          <w:p>
            <w:r>
              <w:rPr>
                <w:rFonts w:ascii="Calibri" w:hAnsi="Calibri"/>
                <w:sz w:val="22"/>
              </w:rPr>
              <w:t>$20.9B</w:t>
            </w:r>
          </w:p>
        </w:tc>
        <w:tc>
          <w:tcPr>
            <w:tcW w:type="dxa" w:w="1234"/>
          </w:tcPr>
          <w:p>
            <w:r>
              <w:rPr>
                <w:rFonts w:ascii="Calibri" w:hAnsi="Calibri"/>
                <w:b/>
                <w:color w:val="30A46C"/>
                <w:sz w:val="22"/>
              </w:rPr>
              <w:t>+1.9%</w:t>
            </w:r>
          </w:p>
        </w:tc>
        <w:tc>
          <w:tcPr>
            <w:tcW w:type="dxa" w:w="1234"/>
          </w:tcPr>
          <w:p>
            <w:r>
              <w:rPr>
                <w:rFonts w:ascii="Calibri" w:hAnsi="Calibri"/>
                <w:sz w:val="22"/>
              </w:rPr>
              <w:t>$566M</w:t>
            </w:r>
          </w:p>
        </w:tc>
        <w:tc>
          <w:tcPr>
            <w:tcW w:type="dxa" w:w="1234"/>
          </w:tcPr>
          <w:p>
            <w:r>
              <w:rPr>
                <w:rFonts w:ascii="Calibri" w:hAnsi="Calibri"/>
                <w:sz w:val="22"/>
              </w:rPr>
              <w:t>$564M</w:t>
            </w:r>
          </w:p>
        </w:tc>
        <w:tc>
          <w:tcPr>
            <w:tcW w:type="dxa" w:w="1234"/>
          </w:tcPr>
          <w:p>
            <w:r>
              <w:rPr>
                <w:rFonts w:ascii="Calibri" w:hAnsi="Calibri"/>
                <w:b/>
                <w:color w:val="30A46C"/>
                <w:sz w:val="22"/>
              </w:rPr>
              <w:t>+0.4%</w:t>
            </w:r>
          </w:p>
        </w:tc>
      </w:tr>
      <w:tr>
        <w:tc>
          <w:tcPr>
            <w:tcW w:type="dxa" w:w="1234"/>
          </w:tcPr>
          <w:p>
            <w:r>
              <w:rPr>
                <w:rFonts w:ascii="Calibri" w:hAnsi="Calibri"/>
                <w:sz w:val="22"/>
              </w:rPr>
              <w:t>Q1 2025</w:t>
            </w:r>
          </w:p>
        </w:tc>
        <w:tc>
          <w:tcPr>
            <w:tcW w:type="dxa" w:w="1234"/>
          </w:tcPr>
          <w:p>
            <w:r>
              <w:rPr>
                <w:rFonts w:ascii="Calibri" w:hAnsi="Calibri"/>
                <w:sz w:val="22"/>
              </w:rPr>
              <w:t>$23.1B</w:t>
            </w:r>
          </w:p>
        </w:tc>
        <w:tc>
          <w:tcPr>
            <w:tcW w:type="dxa" w:w="1234"/>
          </w:tcPr>
          <w:p>
            <w:r>
              <w:rPr>
                <w:rFonts w:ascii="Calibri" w:hAnsi="Calibri"/>
                <w:sz w:val="22"/>
              </w:rPr>
              <w:t>$22.9B</w:t>
            </w:r>
          </w:p>
        </w:tc>
        <w:tc>
          <w:tcPr>
            <w:tcW w:type="dxa" w:w="1234"/>
          </w:tcPr>
          <w:p>
            <w:r>
              <w:rPr>
                <w:rFonts w:ascii="Calibri" w:hAnsi="Calibri"/>
                <w:b/>
                <w:color w:val="30A46C"/>
                <w:sz w:val="22"/>
              </w:rPr>
              <w:t>+0.8%</w:t>
            </w:r>
          </w:p>
        </w:tc>
        <w:tc>
          <w:tcPr>
            <w:tcW w:type="dxa" w:w="1234"/>
          </w:tcPr>
          <w:p>
            <w:r>
              <w:rPr>
                <w:rFonts w:ascii="Calibri" w:hAnsi="Calibri"/>
                <w:sz w:val="22"/>
              </w:rPr>
              <w:t>$590M</w:t>
            </w:r>
          </w:p>
        </w:tc>
        <w:tc>
          <w:tcPr>
            <w:tcW w:type="dxa" w:w="1234"/>
          </w:tcPr>
          <w:p>
            <w:r>
              <w:rPr>
                <w:rFonts w:ascii="Calibri" w:hAnsi="Calibri"/>
                <w:sz w:val="22"/>
              </w:rPr>
              <w:t>$586M</w:t>
            </w:r>
          </w:p>
        </w:tc>
        <w:tc>
          <w:tcPr>
            <w:tcW w:type="dxa" w:w="1234"/>
          </w:tcPr>
          <w:p>
            <w:r>
              <w:rPr>
                <w:rFonts w:ascii="Calibri" w:hAnsi="Calibri"/>
                <w:b/>
                <w:color w:val="30A46C"/>
                <w:sz w:val="22"/>
              </w:rPr>
              <w:t>+0.6%</w:t>
            </w:r>
          </w:p>
        </w:tc>
      </w:tr>
      <w:tr>
        <w:tc>
          <w:tcPr>
            <w:tcW w:type="dxa" w:w="1234"/>
          </w:tcPr>
          <w:p>
            <w:r>
              <w:rPr>
                <w:rFonts w:ascii="Calibri" w:hAnsi="Calibri"/>
                <w:sz w:val="22"/>
              </w:rPr>
              <w:t>Q2 2025</w:t>
            </w:r>
          </w:p>
        </w:tc>
        <w:tc>
          <w:tcPr>
            <w:tcW w:type="dxa" w:w="1234"/>
          </w:tcPr>
          <w:p>
            <w:r>
              <w:rPr>
                <w:rFonts w:ascii="Calibri" w:hAnsi="Calibri"/>
                <w:sz w:val="22"/>
              </w:rPr>
              <w:t>$24.2B</w:t>
            </w:r>
          </w:p>
        </w:tc>
        <w:tc>
          <w:tcPr>
            <w:tcW w:type="dxa" w:w="1234"/>
          </w:tcPr>
          <w:p>
            <w:r>
              <w:rPr>
                <w:rFonts w:ascii="Calibri" w:hAnsi="Calibri"/>
                <w:sz w:val="22"/>
              </w:rPr>
              <w:t>$23.6B</w:t>
            </w:r>
          </w:p>
        </w:tc>
        <w:tc>
          <w:tcPr>
            <w:tcW w:type="dxa" w:w="1234"/>
          </w:tcPr>
          <w:p>
            <w:r>
              <w:rPr>
                <w:rFonts w:ascii="Calibri" w:hAnsi="Calibri"/>
                <w:b/>
                <w:color w:val="30A46C"/>
                <w:sz w:val="22"/>
              </w:rPr>
              <w:t>+2.7%</w:t>
            </w:r>
          </w:p>
        </w:tc>
        <w:tc>
          <w:tcPr>
            <w:tcW w:type="dxa" w:w="1234"/>
          </w:tcPr>
          <w:p>
            <w:r>
              <w:rPr>
                <w:rFonts w:ascii="Calibri" w:hAnsi="Calibri"/>
                <w:sz w:val="22"/>
              </w:rPr>
              <w:t>$655M</w:t>
            </w:r>
          </w:p>
        </w:tc>
        <w:tc>
          <w:tcPr>
            <w:tcW w:type="dxa" w:w="1234"/>
          </w:tcPr>
          <w:p>
            <w:r>
              <w:rPr>
                <w:rFonts w:ascii="Calibri" w:hAnsi="Calibri"/>
                <w:sz w:val="22"/>
              </w:rPr>
              <w:t>$637M</w:t>
            </w:r>
          </w:p>
        </w:tc>
        <w:tc>
          <w:tcPr>
            <w:tcW w:type="dxa" w:w="1234"/>
          </w:tcPr>
          <w:p>
            <w:r>
              <w:rPr>
                <w:rFonts w:ascii="Calibri" w:hAnsi="Calibri"/>
                <w:b/>
                <w:color w:val="30A46C"/>
                <w:sz w:val="22"/>
              </w:rPr>
              <w:t>+2.8%</w:t>
            </w:r>
          </w:p>
        </w:tc>
      </w:tr>
      <w:tr>
        <w:tc>
          <w:tcPr>
            <w:tcW w:type="dxa" w:w="1234"/>
          </w:tcPr>
          <w:p>
            <w:r>
              <w:rPr>
                <w:rFonts w:ascii="Calibri" w:hAnsi="Calibri"/>
                <w:sz w:val="22"/>
              </w:rPr>
              <w:t>Q3 2025</w:t>
            </w:r>
          </w:p>
        </w:tc>
        <w:tc>
          <w:tcPr>
            <w:tcW w:type="dxa" w:w="1234"/>
          </w:tcPr>
          <w:p>
            <w:r>
              <w:rPr>
                <w:rFonts w:ascii="Calibri" w:hAnsi="Calibri"/>
                <w:sz w:val="22"/>
              </w:rPr>
              <w:t>$25.0B</w:t>
            </w:r>
          </w:p>
        </w:tc>
        <w:tc>
          <w:tcPr>
            <w:tcW w:type="dxa" w:w="1234"/>
          </w:tcPr>
          <w:p>
            <w:r>
              <w:rPr>
                <w:rFonts w:ascii="Calibri" w:hAnsi="Calibri"/>
                <w:sz w:val="22"/>
              </w:rPr>
              <w:t>$24.6B</w:t>
            </w:r>
          </w:p>
        </w:tc>
        <w:tc>
          <w:tcPr>
            <w:tcW w:type="dxa" w:w="1234"/>
          </w:tcPr>
          <w:p>
            <w:r>
              <w:rPr>
                <w:rFonts w:ascii="Calibri" w:hAnsi="Calibri"/>
                <w:b/>
                <w:color w:val="30A46C"/>
                <w:sz w:val="22"/>
              </w:rPr>
              <w:t>+1.7%</w:t>
            </w:r>
          </w:p>
        </w:tc>
        <w:tc>
          <w:tcPr>
            <w:tcW w:type="dxa" w:w="1234"/>
          </w:tcPr>
          <w:p>
            <w:r>
              <w:rPr>
                <w:rFonts w:ascii="Calibri" w:hAnsi="Calibri"/>
                <w:sz w:val="22"/>
              </w:rPr>
              <w:t>$754M</w:t>
            </w:r>
          </w:p>
        </w:tc>
        <w:tc>
          <w:tcPr>
            <w:tcW w:type="dxa" w:w="1234"/>
          </w:tcPr>
          <w:p>
            <w:r>
              <w:rPr>
                <w:rFonts w:ascii="Calibri" w:hAnsi="Calibri"/>
                <w:sz w:val="22"/>
              </w:rPr>
              <w:t>$748M</w:t>
            </w:r>
          </w:p>
        </w:tc>
        <w:tc>
          <w:tcPr>
            <w:tcW w:type="dxa" w:w="1234"/>
          </w:tcPr>
          <w:p>
            <w:r>
              <w:rPr>
                <w:rFonts w:ascii="Calibri" w:hAnsi="Calibri"/>
                <w:b/>
                <w:color w:val="30A46C"/>
                <w:sz w:val="22"/>
              </w:rPr>
              <w:t>+0.8%</w:t>
            </w:r>
          </w:p>
        </w:tc>
      </w:tr>
      <w:tr>
        <w:tc>
          <w:tcPr>
            <w:tcW w:type="dxa" w:w="1234"/>
          </w:tcPr>
          <w:p>
            <w:r>
              <w:rPr>
                <w:rFonts w:ascii="Calibri" w:hAnsi="Calibri"/>
                <w:sz w:val="22"/>
              </w:rPr>
              <w:t>Q4 2025</w:t>
            </w:r>
          </w:p>
        </w:tc>
        <w:tc>
          <w:tcPr>
            <w:tcW w:type="dxa" w:w="1234"/>
          </w:tcPr>
          <w:p>
            <w:r>
              <w:rPr>
                <w:rFonts w:ascii="Calibri" w:hAnsi="Calibri"/>
                <w:sz w:val="22"/>
              </w:rPr>
              <w:t>$29.7B</w:t>
            </w:r>
          </w:p>
        </w:tc>
        <w:tc>
          <w:tcPr>
            <w:tcW w:type="dxa" w:w="1234"/>
          </w:tcPr>
          <w:p>
            <w:r>
              <w:rPr>
                <w:rFonts w:ascii="Calibri" w:hAnsi="Calibri"/>
                <w:sz w:val="22"/>
              </w:rPr>
              <w:t>$29.3B</w:t>
            </w:r>
          </w:p>
        </w:tc>
        <w:tc>
          <w:tcPr>
            <w:tcW w:type="dxa" w:w="1234"/>
          </w:tcPr>
          <w:p>
            <w:r>
              <w:rPr>
                <w:rFonts w:ascii="Calibri" w:hAnsi="Calibri"/>
                <w:b/>
                <w:color w:val="30A46C"/>
                <w:sz w:val="22"/>
              </w:rPr>
              <w:t>+1.3%</w:t>
            </w:r>
          </w:p>
        </w:tc>
        <w:tc>
          <w:tcPr>
            <w:tcW w:type="dxa" w:w="1234"/>
          </w:tcPr>
          <w:p>
            <w:r>
              <w:rPr>
                <w:rFonts w:ascii="Calibri" w:hAnsi="Calibri"/>
                <w:sz w:val="22"/>
              </w:rPr>
              <w:t>$780M</w:t>
            </w:r>
          </w:p>
        </w:tc>
        <w:tc>
          <w:tcPr>
            <w:tcW w:type="dxa" w:w="1234"/>
          </w:tcPr>
          <w:p>
            <w:r>
              <w:rPr>
                <w:rFonts w:ascii="Calibri" w:hAnsi="Calibri"/>
                <w:sz w:val="22"/>
              </w:rPr>
              <w:t>$773M</w:t>
            </w:r>
          </w:p>
        </w:tc>
        <w:tc>
          <w:tcPr>
            <w:tcW w:type="dxa" w:w="1234"/>
          </w:tcPr>
          <w:p>
            <w:r>
              <w:rPr>
                <w:rFonts w:ascii="Calibri" w:hAnsi="Calibri"/>
                <w:b/>
                <w:color w:val="30A46C"/>
                <w:sz w:val="22"/>
              </w:rPr>
              <w:t>+0.9%</w:t>
            </w:r>
          </w:p>
        </w:tc>
      </w:tr>
      <w:tr>
        <w:tc>
          <w:tcPr>
            <w:tcW w:type="dxa" w:w="1234"/>
          </w:tcPr>
          <w:p>
            <w:r>
              <w:rPr>
                <w:rFonts w:ascii="Calibri" w:hAnsi="Calibri"/>
                <w:sz w:val="22"/>
              </w:rPr>
              <w:t>Q1 2026</w:t>
            </w:r>
          </w:p>
        </w:tc>
        <w:tc>
          <w:tcPr>
            <w:tcW w:type="dxa" w:w="1234"/>
          </w:tcPr>
          <w:p>
            <w:r>
              <w:rPr>
                <w:rFonts w:ascii="Calibri" w:hAnsi="Calibri"/>
                <w:sz w:val="22"/>
              </w:rPr>
              <w:t>$31.6B</w:t>
            </w:r>
          </w:p>
        </w:tc>
        <w:tc>
          <w:tcPr>
            <w:tcW w:type="dxa" w:w="1234"/>
          </w:tcPr>
          <w:p>
            <w:r>
              <w:rPr>
                <w:rFonts w:ascii="Calibri" w:hAnsi="Calibri"/>
                <w:sz w:val="22"/>
              </w:rPr>
              <w:t>$31.4B</w:t>
            </w:r>
          </w:p>
        </w:tc>
        <w:tc>
          <w:tcPr>
            <w:tcW w:type="dxa" w:w="1234"/>
          </w:tcPr>
          <w:p>
            <w:r>
              <w:rPr>
                <w:rFonts w:ascii="Calibri" w:hAnsi="Calibri"/>
                <w:b/>
                <w:color w:val="30A46C"/>
                <w:sz w:val="22"/>
              </w:rPr>
              <w:t>+0.5%</w:t>
            </w:r>
          </w:p>
        </w:tc>
        <w:tc>
          <w:tcPr>
            <w:tcW w:type="dxa" w:w="1234"/>
          </w:tcPr>
          <w:p>
            <w:r>
              <w:rPr>
                <w:rFonts w:ascii="Calibri" w:hAnsi="Calibri"/>
                <w:sz w:val="22"/>
              </w:rPr>
              <w:t>$754M</w:t>
            </w:r>
          </w:p>
        </w:tc>
        <w:tc>
          <w:tcPr>
            <w:tcW w:type="dxa" w:w="1234"/>
          </w:tcPr>
          <w:p>
            <w:r>
              <w:rPr>
                <w:rFonts w:ascii="Calibri" w:hAnsi="Calibri"/>
                <w:sz w:val="22"/>
              </w:rPr>
              <w:t>$744M</w:t>
            </w:r>
          </w:p>
        </w:tc>
        <w:tc>
          <w:tcPr>
            <w:tcW w:type="dxa" w:w="1234"/>
          </w:tcPr>
          <w:p>
            <w:r>
              <w:rPr>
                <w:rFonts w:ascii="Calibri" w:hAnsi="Calibri"/>
                <w:b/>
                <w:color w:val="30A46C"/>
                <w:sz w:val="22"/>
              </w:rPr>
              <w:t>+1.3%</w:t>
            </w:r>
          </w:p>
        </w:tc>
      </w:tr>
    </w:tbl>
    <w:p>
      <w:r>
        <w:rPr>
          <w:rFonts w:ascii="Calibri" w:hAnsi="Calibri"/>
          <w:b/>
          <w:color w:val="525866"/>
          <w:sz w:val="22"/>
        </w:rPr>
        <w:t xml:space="preserve">Pattern: </w:t>
      </w:r>
      <w:r>
        <w:rPr>
          <w:rFonts w:ascii="Calibri" w:hAnsi="Calibri"/>
          <w:color w:val="525866"/>
          <w:sz w:val="22"/>
        </w:rPr>
        <w:t>DASH has beaten GOV consensus in all 8 of the last 8 quarters, with surprises ranging from +0.5% to +2.7%; EBITDA beats have been consistent as well, with the largest upside in Q2 2024 (+8.9%) — a strong track record that sets a high bar for the Street's expectations heading into Q2 2026.</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not been formally revised since the Q1 2026 earnings call — the GOV range of $32.4–$33.4B and the full-year EBITDA margin commitment (slightly higher vs. 2025 ex-GOV) remain the operative framework; </w:t>
      </w:r>
      <w:r>
        <w:rPr>
          <w:rFonts w:ascii="Calibri" w:hAnsi="Calibri"/>
          <w:b/>
          <w:color w:val="525866"/>
          <w:sz w:val="22"/>
        </w:rPr>
        <w:t>management's tone was confident and forward-leaning</w:t>
      </w:r>
      <w:r>
        <w:rPr>
          <w:rFonts w:ascii="Calibri" w:hAnsi="Calibri"/>
          <w:color w:val="525866"/>
          <w:sz w:val="22"/>
        </w:rPr>
        <w:t>, with no post-earnings 8-K or conference update that changed the numbers.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Marketplace GOV</w:t>
            </w:r>
          </w:p>
        </w:tc>
        <w:tc>
          <w:tcPr>
            <w:tcW w:type="dxa" w:w="1728"/>
          </w:tcPr>
          <w:p>
            <w:r>
              <w:rPr>
                <w:rFonts w:ascii="Calibri" w:hAnsi="Calibri"/>
                <w:sz w:val="22"/>
              </w:rPr>
              <w:t>$32.4B – $33.4B</w:t>
            </w:r>
          </w:p>
        </w:tc>
        <w:tc>
          <w:tcPr>
            <w:tcW w:type="dxa" w:w="1728"/>
          </w:tcPr>
          <w:p>
            <w:r>
              <w:rPr>
                <w:rFonts w:ascii="Calibri" w:hAnsi="Calibri"/>
                <w:sz w:val="22"/>
              </w:rPr>
              <w:t>—</w:t>
            </w:r>
          </w:p>
        </w:tc>
        <w:tc>
          <w:tcPr>
            <w:tcW w:type="dxa" w:w="1728"/>
          </w:tcPr>
          <w:p>
            <w:r>
              <w:rPr>
                <w:rFonts w:ascii="Calibri" w:hAnsi="Calibri"/>
                <w:sz w:val="22"/>
              </w:rPr>
              <w:t>$32.9B</w:t>
            </w:r>
          </w:p>
        </w:tc>
        <w:tc>
          <w:tcPr>
            <w:tcW w:type="dxa" w:w="1728"/>
          </w:tcPr>
          <w:p>
            <w:r>
              <w:rPr>
                <w:rFonts w:ascii="Calibri" w:hAnsi="Calibri"/>
                <w:sz w:val="22"/>
              </w:rPr>
              <w:t>Unchanged; consensus at midpoint of range</w:t>
            </w:r>
          </w:p>
        </w:tc>
      </w:tr>
      <w:tr>
        <w:tc>
          <w:tcPr>
            <w:tcW w:type="dxa" w:w="1728"/>
          </w:tcPr>
          <w:p>
            <w:r>
              <w:rPr>
                <w:rFonts w:ascii="Calibri" w:hAnsi="Calibri"/>
                <w:sz w:val="22"/>
              </w:rPr>
              <w:t>Q2 2026 Dasher Gas Relief Cost</w:t>
            </w:r>
          </w:p>
        </w:tc>
        <w:tc>
          <w:tcPr>
            <w:tcW w:type="dxa" w:w="1728"/>
          </w:tcPr>
          <w:p>
            <w:r>
              <w:rPr>
                <w:rFonts w:ascii="Calibri" w:hAnsi="Calibri"/>
                <w:sz w:val="22"/>
              </w:rPr>
              <w:t>~$50M gross cost in Q2</w:t>
            </w:r>
          </w:p>
        </w:tc>
        <w:tc>
          <w:tcPr>
            <w:tcW w:type="dxa" w:w="1728"/>
          </w:tcPr>
          <w:p>
            <w:r>
              <w:rPr>
                <w:rFonts w:ascii="Calibri" w:hAnsi="Calibri"/>
                <w:sz w:val="22"/>
              </w:rPr>
              <w:t>—</w:t>
            </w:r>
          </w:p>
        </w:tc>
        <w:tc>
          <w:tcPr>
            <w:tcW w:type="dxa" w:w="1728"/>
          </w:tcPr>
          <w:p>
            <w:r>
              <w:rPr>
                <w:rFonts w:ascii="Calibri" w:hAnsi="Calibri"/>
                <w:sz w:val="22"/>
              </w:rPr>
              <w:t>Embedded in EBITDA estimates</w:t>
            </w:r>
          </w:p>
        </w:tc>
        <w:tc>
          <w:tcPr>
            <w:tcW w:type="dxa" w:w="1728"/>
          </w:tcPr>
          <w:p>
            <w:r>
              <w:rPr>
                <w:rFonts w:ascii="Calibri" w:hAnsi="Calibri"/>
                <w:sz w:val="22"/>
              </w:rPr>
              <w:t>Unchanged; management found offsets by deferring H1 investments to H2</w:t>
            </w:r>
          </w:p>
        </w:tc>
      </w:tr>
      <w:tr>
        <w:tc>
          <w:tcPr>
            <w:tcW w:type="dxa" w:w="1728"/>
          </w:tcPr>
          <w:p>
            <w:r>
              <w:rPr>
                <w:rFonts w:ascii="Calibri" w:hAnsi="Calibri"/>
                <w:sz w:val="22"/>
              </w:rPr>
              <w:t>FY 2026 Adj. EBITDA Margin</w:t>
            </w:r>
          </w:p>
        </w:tc>
        <w:tc>
          <w:tcPr>
            <w:tcW w:type="dxa" w:w="1728"/>
          </w:tcPr>
          <w:p>
            <w:r>
              <w:rPr>
                <w:rFonts w:ascii="Calibri" w:hAnsi="Calibri"/>
                <w:sz w:val="22"/>
              </w:rPr>
              <w:t>Slightly higher vs. FY 2025 (ex-GOV); GOV segment ~$200M EBITDA</w:t>
            </w:r>
          </w:p>
        </w:tc>
        <w:tc>
          <w:tcPr>
            <w:tcW w:type="dxa" w:w="1728"/>
          </w:tcPr>
          <w:p>
            <w:r>
              <w:rPr>
                <w:rFonts w:ascii="Calibri" w:hAnsi="Calibri"/>
                <w:sz w:val="22"/>
              </w:rPr>
              <w:t>—</w:t>
            </w:r>
          </w:p>
        </w:tc>
        <w:tc>
          <w:tcPr>
            <w:tcW w:type="dxa" w:w="1728"/>
          </w:tcPr>
          <w:p>
            <w:r>
              <w:rPr>
                <w:rFonts w:ascii="Calibri" w:hAnsi="Calibri"/>
                <w:sz w:val="22"/>
              </w:rPr>
              <w:t>~20.5% (FY 2026 consensus)</w:t>
            </w:r>
          </w:p>
        </w:tc>
        <w:tc>
          <w:tcPr>
            <w:tcW w:type="dxa" w:w="1728"/>
          </w:tcPr>
          <w:p>
            <w:r>
              <w:rPr>
                <w:rFonts w:ascii="Calibri" w:hAnsi="Calibri"/>
                <w:sz w:val="22"/>
              </w:rPr>
              <w:t>Unchanged; H2 EBITDA dollars and margins guided higher than H1</w:t>
            </w:r>
          </w:p>
        </w:tc>
      </w:tr>
      <w:tr>
        <w:tc>
          <w:tcPr>
            <w:tcW w:type="dxa" w:w="1728"/>
          </w:tcPr>
          <w:p>
            <w:r>
              <w:rPr>
                <w:rFonts w:ascii="Calibri" w:hAnsi="Calibri"/>
                <w:sz w:val="22"/>
              </w:rPr>
              <w:t>New Verticals Gross Profit</w:t>
            </w:r>
          </w:p>
        </w:tc>
        <w:tc>
          <w:tcPr>
            <w:tcW w:type="dxa" w:w="1728"/>
          </w:tcPr>
          <w:p>
            <w:r>
              <w:rPr>
                <w:rFonts w:ascii="Calibri" w:hAnsi="Calibri"/>
                <w:sz w:val="22"/>
              </w:rPr>
              <w:t>Gross profit positive in H2 2026</w:t>
            </w:r>
          </w:p>
        </w:tc>
        <w:tc>
          <w:tcPr>
            <w:tcW w:type="dxa" w:w="1728"/>
          </w:tcPr>
          <w:p>
            <w:r>
              <w:rPr>
                <w:rFonts w:ascii="Calibri" w:hAnsi="Calibri"/>
                <w:sz w:val="22"/>
              </w:rPr>
              <w:t>—</w:t>
            </w:r>
          </w:p>
        </w:tc>
        <w:tc>
          <w:tcPr>
            <w:tcW w:type="dxa" w:w="1728"/>
          </w:tcPr>
          <w:p>
            <w:r>
              <w:rPr>
                <w:rFonts w:ascii="Calibri" w:hAnsi="Calibri"/>
                <w:sz w:val="22"/>
              </w:rPr>
              <w:t>N/A (not separately tracked in consensus)</w:t>
            </w:r>
          </w:p>
        </w:tc>
        <w:tc>
          <w:tcPr>
            <w:tcW w:type="dxa" w:w="1728"/>
          </w:tcPr>
          <w:p>
            <w:r>
              <w:rPr>
                <w:rFonts w:ascii="Calibri" w:hAnsi="Calibri"/>
                <w:sz w:val="22"/>
              </w:rPr>
              <w:t>Unchanged; management tracking well toward milestone</w:t>
            </w:r>
          </w:p>
        </w:tc>
      </w:tr>
      <w:tr>
        <w:tc>
          <w:tcPr>
            <w:tcW w:type="dxa" w:w="1728"/>
          </w:tcPr>
          <w:p>
            <w:r>
              <w:rPr>
                <w:rFonts w:ascii="Calibri" w:hAnsi="Calibri"/>
                <w:sz w:val="22"/>
              </w:rPr>
              <w:t>International Contribution Profit</w:t>
            </w:r>
          </w:p>
        </w:tc>
        <w:tc>
          <w:tcPr>
            <w:tcW w:type="dxa" w:w="1728"/>
          </w:tcPr>
          <w:p>
            <w:r>
              <w:rPr>
                <w:rFonts w:ascii="Calibri" w:hAnsi="Calibri"/>
                <w:sz w:val="22"/>
              </w:rPr>
              <w:t>Contribution profit positive in H2 2026 (ex-Deliveroo)</w:t>
            </w:r>
          </w:p>
        </w:tc>
        <w:tc>
          <w:tcPr>
            <w:tcW w:type="dxa" w:w="1728"/>
          </w:tcPr>
          <w:p>
            <w:r>
              <w:rPr>
                <w:rFonts w:ascii="Calibri" w:hAnsi="Calibri"/>
                <w:sz w:val="22"/>
              </w:rPr>
              <w:t>—</w:t>
            </w:r>
          </w:p>
        </w:tc>
        <w:tc>
          <w:tcPr>
            <w:tcW w:type="dxa" w:w="1728"/>
          </w:tcPr>
          <w:p>
            <w:r>
              <w:rPr>
                <w:rFonts w:ascii="Calibri" w:hAnsi="Calibri"/>
                <w:sz w:val="22"/>
              </w:rPr>
              <w:t>N/A (not separately tracked in consensus)</w:t>
            </w:r>
          </w:p>
        </w:tc>
        <w:tc>
          <w:tcPr>
            <w:tcW w:type="dxa" w:w="1728"/>
          </w:tcPr>
          <w:p>
            <w:r>
              <w:rPr>
                <w:rFonts w:ascii="Calibri" w:hAnsi="Calibri"/>
                <w:sz w:val="22"/>
              </w:rPr>
              <w:t>Unchanged; Deliveroo re-accelerating, Wolt at share highs</w:t>
            </w:r>
          </w:p>
        </w:tc>
      </w:tr>
      <w:tr>
        <w:tc>
          <w:tcPr>
            <w:tcW w:type="dxa" w:w="1728"/>
          </w:tcPr>
          <w:p>
            <w:r>
              <w:rPr>
                <w:rFonts w:ascii="Calibri" w:hAnsi="Calibri"/>
                <w:sz w:val="22"/>
              </w:rPr>
              <w:t>Gas Relief Program Extension (Q3+)</w:t>
            </w:r>
          </w:p>
        </w:tc>
        <w:tc>
          <w:tcPr>
            <w:tcW w:type="dxa" w:w="1728"/>
          </w:tcPr>
          <w:p>
            <w:r>
              <w:rPr>
                <w:rFonts w:ascii="Calibri" w:hAnsi="Calibri"/>
                <w:sz w:val="22"/>
              </w:rPr>
              <w:t>No decision made; will monitor and find offsets if extended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Key watch item on Q2 call — any extension would be a new headwind vs. current H2 EBITDA ramp expectations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print — GOV and EBITDA consensus for both Q2 2026 and FY 2026 moved less than 0.2% from the post-earnings baseline, indicating the Street fully absorbed guidance with minimal revision activity; </w:t>
      </w:r>
      <w:r>
        <w:rPr>
          <w:rFonts w:ascii="Calibri" w:hAnsi="Calibri"/>
          <w:b/>
          <w:color w:val="525866"/>
          <w:sz w:val="22"/>
        </w:rPr>
        <w:t>the lack of upward revision despite strong operational momentum suggests modest cushion for a beat</w:t>
      </w:r>
      <w:r>
        <w:rPr>
          <w:rFonts w:ascii="Calibri" w:hAnsi="Calibri"/>
          <w:color w:val="525866"/>
          <w:sz w:val="22"/>
        </w:rPr>
        <w:t xml:space="preserve"> rather than a high bar.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13,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Marketplace GOV — Q2 2026</w:t>
            </w:r>
          </w:p>
        </w:tc>
        <w:tc>
          <w:tcPr>
            <w:tcW w:type="dxa" w:w="1080"/>
          </w:tcPr>
          <w:p>
            <w:r>
              <w:rPr>
                <w:rFonts w:ascii="Calibri" w:hAnsi="Calibri"/>
                <w:sz w:val="22"/>
              </w:rPr>
              <w:t>$32.90B</w:t>
            </w:r>
          </w:p>
        </w:tc>
        <w:tc>
          <w:tcPr>
            <w:tcW w:type="dxa" w:w="1080"/>
          </w:tcPr>
          <w:p>
            <w:r>
              <w:rPr>
                <w:rFonts w:ascii="Calibri" w:hAnsi="Calibri"/>
                <w:sz w:val="22"/>
              </w:rPr>
              <w:t>$32.92B</w:t>
            </w:r>
          </w:p>
        </w:tc>
        <w:tc>
          <w:tcPr>
            <w:tcW w:type="dxa" w:w="1080"/>
          </w:tcPr>
          <w:p>
            <w:r>
              <w:rPr>
                <w:rFonts w:ascii="Calibri" w:hAnsi="Calibri"/>
                <w:sz w:val="22"/>
              </w:rPr>
              <w:t>+0.1%</w:t>
            </w:r>
          </w:p>
        </w:tc>
        <w:tc>
          <w:tcPr>
            <w:tcW w:type="dxa" w:w="1080"/>
          </w:tcPr>
          <w:p>
            <w:r>
              <w:rPr>
                <w:rFonts w:ascii="Calibri" w:hAnsi="Calibri"/>
                <w:sz w:val="22"/>
              </w:rPr>
              <w:t>$32.4B–$33.4B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$32.9B mid</w:t>
            </w:r>
          </w:p>
        </w:tc>
      </w:tr>
      <w:tr>
        <w:tc>
          <w:tcPr>
            <w:tcW w:type="dxa" w:w="1080"/>
          </w:tcPr>
          <w:p>
            <w:r>
              <w:rPr>
                <w:rFonts w:ascii="Calibri" w:hAnsi="Calibri"/>
                <w:sz w:val="22"/>
              </w:rPr>
              <w:t>Marketplace GOV — FY 2026</w:t>
            </w:r>
          </w:p>
        </w:tc>
        <w:tc>
          <w:tcPr>
            <w:tcW w:type="dxa" w:w="1080"/>
          </w:tcPr>
          <w:p>
            <w:r>
              <w:rPr>
                <w:rFonts w:ascii="Calibri" w:hAnsi="Calibri"/>
                <w:sz w:val="22"/>
              </w:rPr>
              <w:t>$133.46B</w:t>
            </w:r>
          </w:p>
        </w:tc>
        <w:tc>
          <w:tcPr>
            <w:tcW w:type="dxa" w:w="1080"/>
          </w:tcPr>
          <w:p>
            <w:r>
              <w:rPr>
                <w:rFonts w:ascii="Calibri" w:hAnsi="Calibri"/>
                <w:sz w:val="22"/>
              </w:rPr>
              <w:t>$133.58B</w:t>
            </w:r>
          </w:p>
        </w:tc>
        <w:tc>
          <w:tcPr>
            <w:tcW w:type="dxa" w:w="1080"/>
          </w:tcPr>
          <w:p>
            <w:r>
              <w:rPr>
                <w:rFonts w:ascii="Calibri" w:hAnsi="Calibri"/>
                <w:sz w:val="22"/>
              </w:rPr>
              <w:t>+0.1%</w:t>
            </w:r>
          </w:p>
        </w:tc>
        <w:tc>
          <w:tcPr>
            <w:tcW w:type="dxa" w:w="1080"/>
          </w:tcPr>
          <w:p>
            <w:r>
              <w:rPr>
                <w:rFonts w:ascii="Calibri" w:hAnsi="Calibri"/>
                <w:sz w:val="22"/>
              </w:rPr>
              <w:t>No explicit FY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Adjusted EBITDA — Q2 2026</w:t>
            </w:r>
          </w:p>
        </w:tc>
        <w:tc>
          <w:tcPr>
            <w:tcW w:type="dxa" w:w="1080"/>
          </w:tcPr>
          <w:p>
            <w:r>
              <w:rPr>
                <w:rFonts w:ascii="Calibri" w:hAnsi="Calibri"/>
                <w:sz w:val="22"/>
              </w:rPr>
              <w:t>$840.7M</w:t>
            </w:r>
          </w:p>
        </w:tc>
        <w:tc>
          <w:tcPr>
            <w:tcW w:type="dxa" w:w="1080"/>
          </w:tcPr>
          <w:p>
            <w:r>
              <w:rPr>
                <w:rFonts w:ascii="Calibri" w:hAnsi="Calibri"/>
                <w:sz w:val="22"/>
              </w:rPr>
              <w:t>$843.3M</w:t>
            </w:r>
          </w:p>
        </w:tc>
        <w:tc>
          <w:tcPr>
            <w:tcW w:type="dxa" w:w="1080"/>
          </w:tcPr>
          <w:p>
            <w:r>
              <w:rPr>
                <w:rFonts w:ascii="Calibri" w:hAnsi="Calibri"/>
                <w:sz w:val="22"/>
              </w:rPr>
              <w:t>+0.3%</w:t>
            </w:r>
          </w:p>
        </w:tc>
        <w:tc>
          <w:tcPr>
            <w:tcW w:type="dxa" w:w="1080"/>
          </w:tcPr>
          <w:p>
            <w:r>
              <w:rPr>
                <w:rFonts w:ascii="Calibri" w:hAnsi="Calibri"/>
                <w:sz w:val="22"/>
              </w:rPr>
              <w:t>H2 &gt; H1; FY margin slightly higher vs. 2025 ex-GOV</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Q2 range given)</w:t>
            </w:r>
          </w:p>
        </w:tc>
      </w:tr>
      <w:tr>
        <w:tc>
          <w:tcPr>
            <w:tcW w:type="dxa" w:w="1080"/>
          </w:tcPr>
          <w:p>
            <w:r>
              <w:rPr>
                <w:rFonts w:ascii="Calibri" w:hAnsi="Calibri"/>
                <w:sz w:val="22"/>
              </w:rPr>
              <w:t>Adjusted EBITDA — FY 2026</w:t>
            </w:r>
          </w:p>
        </w:tc>
        <w:tc>
          <w:tcPr>
            <w:tcW w:type="dxa" w:w="1080"/>
          </w:tcPr>
          <w:p>
            <w:r>
              <w:rPr>
                <w:rFonts w:ascii="Calibri" w:hAnsi="Calibri"/>
                <w:sz w:val="22"/>
              </w:rPr>
              <w:t>$3,629M</w:t>
            </w:r>
          </w:p>
        </w:tc>
        <w:tc>
          <w:tcPr>
            <w:tcW w:type="dxa" w:w="1080"/>
          </w:tcPr>
          <w:p>
            <w:r>
              <w:rPr>
                <w:rFonts w:ascii="Calibri" w:hAnsi="Calibri"/>
                <w:sz w:val="22"/>
              </w:rPr>
              <w:t>$3,616M</w:t>
            </w:r>
          </w:p>
        </w:tc>
        <w:tc>
          <w:tcPr>
            <w:tcW w:type="dxa" w:w="1080"/>
          </w:tcPr>
          <w:p>
            <w:r>
              <w:rPr>
                <w:rFonts w:ascii="Calibri" w:hAnsi="Calibri"/>
                <w:sz w:val="22"/>
              </w:rPr>
              <w:t>-0.4%</w:t>
            </w:r>
          </w:p>
        </w:tc>
        <w:tc>
          <w:tcPr>
            <w:tcW w:type="dxa" w:w="1080"/>
          </w:tcPr>
          <w:p>
            <w:r>
              <w:rPr>
                <w:rFonts w:ascii="Calibri" w:hAnsi="Calibri"/>
                <w:sz w:val="22"/>
              </w:rPr>
              <w:t>Slightly higher margin vs. FY 2025 ex-GOV</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Q2 2026</w:t>
            </w:r>
          </w:p>
        </w:tc>
        <w:tc>
          <w:tcPr>
            <w:tcW w:type="dxa" w:w="1080"/>
          </w:tcPr>
          <w:p>
            <w:r>
              <w:rPr>
                <w:rFonts w:ascii="Calibri" w:hAnsi="Calibri"/>
                <w:sz w:val="22"/>
              </w:rPr>
              <w:t>$4,344.9M</w:t>
            </w:r>
          </w:p>
        </w:tc>
        <w:tc>
          <w:tcPr>
            <w:tcW w:type="dxa" w:w="1080"/>
          </w:tcPr>
          <w:p>
            <w:r>
              <w:rPr>
                <w:rFonts w:ascii="Calibri" w:hAnsi="Calibri"/>
                <w:sz w:val="22"/>
              </w:rPr>
              <w:t>$4,347.2M</w:t>
            </w:r>
          </w:p>
        </w:tc>
        <w:tc>
          <w:tcPr>
            <w:tcW w:type="dxa" w:w="1080"/>
          </w:tcPr>
          <w:p>
            <w:r>
              <w:rPr>
                <w:rFonts w:ascii="Calibri" w:hAnsi="Calibri"/>
                <w:sz w:val="22"/>
              </w:rPr>
              <w:t>+0.1%</w:t>
            </w:r>
          </w:p>
        </w:tc>
        <w:tc>
          <w:tcPr>
            <w:tcW w:type="dxa" w:w="1080"/>
          </w:tcPr>
          <w:p>
            <w:r>
              <w:rPr>
                <w:rFonts w:ascii="Calibri" w:hAnsi="Calibri"/>
                <w:sz w:val="22"/>
              </w:rPr>
              <w:t>No explicit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$17,619M</w:t>
            </w:r>
          </w:p>
        </w:tc>
        <w:tc>
          <w:tcPr>
            <w:tcW w:type="dxa" w:w="1080"/>
          </w:tcPr>
          <w:p>
            <w:r>
              <w:rPr>
                <w:rFonts w:ascii="Calibri" w:hAnsi="Calibri"/>
                <w:sz w:val="22"/>
              </w:rPr>
              <w:t>$17,619M</w:t>
            </w:r>
          </w:p>
        </w:tc>
        <w:tc>
          <w:tcPr>
            <w:tcW w:type="dxa" w:w="1080"/>
          </w:tcPr>
          <w:p>
            <w:r>
              <w:rPr>
                <w:rFonts w:ascii="Calibri" w:hAnsi="Calibri"/>
                <w:sz w:val="22"/>
              </w:rPr>
              <w:t>0.0%</w:t>
            </w:r>
          </w:p>
        </w:tc>
        <w:tc>
          <w:tcPr>
            <w:tcW w:type="dxa" w:w="1080"/>
          </w:tcPr>
          <w:p>
            <w:r>
              <w:rPr>
                <w:rFonts w:ascii="Calibri" w:hAnsi="Calibri"/>
                <w:sz w:val="22"/>
              </w:rPr>
              <w:t>No explicit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Operating) — Q2 2026</w:t>
            </w:r>
          </w:p>
        </w:tc>
        <w:tc>
          <w:tcPr>
            <w:tcW w:type="dxa" w:w="1080"/>
          </w:tcPr>
          <w:p>
            <w:r>
              <w:rPr>
                <w:rFonts w:ascii="Calibri" w:hAnsi="Calibri"/>
                <w:sz w:val="22"/>
              </w:rPr>
              <w:t>$1.34</w:t>
            </w:r>
          </w:p>
        </w:tc>
        <w:tc>
          <w:tcPr>
            <w:tcW w:type="dxa" w:w="1080"/>
          </w:tcPr>
          <w:p>
            <w:r>
              <w:rPr>
                <w:rFonts w:ascii="Calibri" w:hAnsi="Calibri"/>
                <w:sz w:val="22"/>
              </w:rPr>
              <w:t>$1.34</w:t>
            </w:r>
          </w:p>
        </w:tc>
        <w:tc>
          <w:tcPr>
            <w:tcW w:type="dxa" w:w="1080"/>
          </w:tcPr>
          <w:p>
            <w:r>
              <w:rPr>
                <w:rFonts w:ascii="Calibri" w:hAnsi="Calibri"/>
                <w:sz w:val="22"/>
              </w:rPr>
              <w:t>0.0%</w:t>
            </w:r>
          </w:p>
        </w:tc>
        <w:tc>
          <w:tcPr>
            <w:tcW w:type="dxa" w:w="1080"/>
          </w:tcPr>
          <w:p>
            <w:r>
              <w:rPr>
                <w:rFonts w:ascii="Calibri" w:hAnsi="Calibri"/>
                <w:sz w:val="22"/>
              </w:rPr>
              <w:t>No explicit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essentially frozen since the Q1 print, with all key KPIs moving less than 0.4% from the post-earnings baseline — this reflects a Street that fully digested guidance and sees little incremental information to revise on. The flat revision trajectory is a mild positive: it means the bar has not crept up, and any operational outperformance (e.g., stronger Deliveroo GOV, faster new verticals ramp, or better-than-expected take rate recovery) would flow directly to upside surprise.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DASH has significantly outperformed since Q1 earnings (+20.5% vs. S&amp;P 500 +5.1% and ARKK -3.5%), driven primarily by </w:t>
      </w:r>
      <w:r>
        <w:rPr>
          <w:rFonts w:ascii="Calibri" w:hAnsi="Calibri"/>
          <w:b/>
          <w:color w:val="525866"/>
          <w:sz w:val="22"/>
        </w:rPr>
        <w:t>multiple expansion and sentiment re-rating</w:t>
      </w:r>
      <w:r>
        <w:rPr>
          <w:rFonts w:ascii="Calibri" w:hAnsi="Calibri"/>
          <w:color w:val="525866"/>
          <w:sz w:val="22"/>
        </w:rPr>
        <w:t xml:space="preserve"> on the back of record operational metrics and confident management tone — the stock is no longer cheap heading into Q2, meaning execution must match the elevated bar to sustain the rally.</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DASH vs. ARKK (Innovation ETF) vs. S&amp;P 500 — Indexed to 100 at Q1 2026 Earnings Date (May 6, 2026). Source: Yahoo Finance / Stock Price Data.</w:t>
      </w:r>
    </w:p>
    <w:p>
      <w:r>
        <w:rPr>
          <w:rFonts w:ascii="Calibri" w:hAnsi="Calibri"/>
          <w:color w:val="525866"/>
          <w:sz w:val="22"/>
        </w:rPr>
        <w:t>DASH rallied sharply in the days immediately following the Q1 2026 print on May 6, 2026, driven by the EPS beat, record MAU and membership metrics, and Q2 GOV guidance that came in above prior-period trajectory. The stock pulled back through mid-May as the market digested the revenue miss and the Dasher gas relief program cost headwind, before recovering strongly through June and July. The mid-June re-acceleration coincided with broader market stabilization and growing investor confidence in DASH's H2 EBITDA ramp narrative. ARKK (used as an innovation/high-growth tech sector proxy) underperformed materially over the same period (-3.5%), highlighting that DASH's outperformance was company-specific rather than sector-driven. The S&amp;P 500 gained +5.1%, making DASH's +20.5% return approximately 15 percentage points of alpha since the last print. The stock's strong pre-earnings performance raises the stakes for the Q2 print — any guidance disappointment or gas relief program extension would likely be met with a sharp reversal given the elevated multiple.</w:t>
      </w:r>
    </w:p>
    <w:p>
      <w:r>
        <w:br w:type="page"/>
      </w:r>
    </w:p>
    <w:p>
      <w:pPr>
        <w:pStyle w:val="Heading2"/>
      </w:pPr>
      <w:r>
        <w:rPr>
          <w:rFonts w:ascii="Calibri" w:hAnsi="Calibri"/>
          <w:b/>
          <w:color w:val="3B4259"/>
          <w:sz w:val="28"/>
        </w:rPr>
        <w:t>6. Peer Commentaries — Read-Through (Last 60 Days, Q2 2026 Relevant)</w:t>
      </w:r>
    </w:p>
    <w:p>
      <w:r>
        <w:rPr>
          <w:rFonts w:ascii="Calibri" w:hAnsi="Calibri"/>
          <w:b/>
          <w:color w:val="525866"/>
          <w:sz w:val="22"/>
        </w:rPr>
        <w:t xml:space="preserve">Key Takeaway: </w:t>
      </w:r>
      <w:r>
        <w:rPr>
          <w:rFonts w:ascii="Calibri" w:hAnsi="Calibri"/>
          <w:color w:val="525866"/>
          <w:sz w:val="22"/>
        </w:rPr>
        <w:t xml:space="preserve">Peer commentary from Uber (Q1 2026 earnings + Bernstein conference) and Lyft (Q1 2026 earnings) is broadly constructive for DASH's Q2 print — both confirm </w:t>
      </w:r>
      <w:r>
        <w:rPr>
          <w:rFonts w:ascii="Calibri" w:hAnsi="Calibri"/>
          <w:b/>
          <w:color w:val="525866"/>
          <w:sz w:val="22"/>
        </w:rPr>
        <w:t>healthy consumer demand, accelerating delivery volumes, and strong grocery/new verticals momentum</w:t>
      </w:r>
      <w:r>
        <w:rPr>
          <w:rFonts w:ascii="Calibri" w:hAnsi="Calibri"/>
          <w:color w:val="525866"/>
          <w:sz w:val="22"/>
        </w:rPr>
        <w:t xml:space="preserve"> heading into Q2 2026; Uber's explicit Q2 gross bookings guidance of +18–22% YoY and Lyft's acceleration commentary provide a positive read-through for DASH's GOV trajectory.</w:t>
      </w:r>
    </w:p>
    <w:p>
      <w:r>
        <w:rPr>
          <w:rFonts w:ascii="Calibri" w:hAnsi="Calibri"/>
          <w:i/>
          <w:color w:val="525866"/>
          <w:sz w:val="22"/>
        </w:rPr>
        <w:t>Note: Only commentary from peers about Q2 2026 (the current reporting quarter) or forward-looking commentary made after Q1 2026 earnings is included below. Q1 2026 results commentary about Q1 itself is excluded.</w:t>
      </w:r>
    </w:p>
    <w:p>
      <w:pPr>
        <w:pStyle w:val="Heading3"/>
      </w:pPr>
      <w:r>
        <w:rPr>
          <w:rFonts w:ascii="Calibri" w:hAnsi="Calibri"/>
          <w:b/>
          <w:color w:val="3B4259"/>
          <w:sz w:val="24"/>
        </w:rPr>
        <w:t>Uber (UBER) — Q1 2026 Earnings Call (May 6, 2026) &amp; Bernstein Conference (May 28, 2026)</w:t>
      </w:r>
    </w:p>
    <w:p>
      <w:pPr>
        <w:pStyle w:val="ListBullet"/>
        <w:ind w:left="360" w:hanging="360"/>
      </w:pPr>
      <w:r>
        <w:rPr>
          <w:rFonts w:ascii="Calibri" w:hAnsi="Calibri"/>
          <w:b/>
          <w:color w:val="525866"/>
          <w:sz w:val="22"/>
        </w:rPr>
        <w:t xml:space="preserve">Q2 2026 Gross Bookings Guidance: +18–22% YoY. </w:t>
      </w:r>
      <w:r>
        <w:rPr>
          <w:rFonts w:ascii="Calibri" w:hAnsi="Calibri"/>
          <w:color w:val="525866"/>
          <w:sz w:val="22"/>
        </w:rPr>
        <w:t>Uber guided Q2 2026 gross bookings growth of 18–22% YoY, with management stating the outlook “reflects continued momentum, disciplined capital allocation and a clear focus on durable, profitable growth.” This is a direct positive read-through for DASH's Q2 GOV trajectory, as both platforms are seeing similar demand tailwinds in food delivery and new verticals.</w:t>
      </w:r>
    </w:p>
    <w:p>
      <w:pPr>
        <w:pStyle w:val="ListBullet"/>
        <w:ind w:left="360" w:hanging="360"/>
      </w:pPr>
      <w:r>
        <w:rPr>
          <w:rFonts w:ascii="Calibri" w:hAnsi="Calibri"/>
          <w:b/>
          <w:color w:val="525866"/>
          <w:sz w:val="22"/>
        </w:rPr>
        <w:t xml:space="preserve">Delivery Grew 23% in Q1, Led by Grocery &amp; Retail. </w:t>
      </w:r>
      <w:r>
        <w:rPr>
          <w:rFonts w:ascii="Calibri" w:hAnsi="Calibri"/>
          <w:color w:val="525866"/>
          <w:sz w:val="22"/>
        </w:rPr>
        <w:t>Uber's Delivery segment grew 23% YoY in Q1 2026, “led by grocery and retail and supported by strong retention.” Uber noted that suburban delivery growth is “2x faster generally in Mobility and Delivery in these sparse markets versus the core urban markets.” This corroborates DASH's own commentary about new verticals momentum and grocery at record highs, and suggests the category tailwind is real and broad-based heading into Q2.</w:t>
      </w:r>
    </w:p>
    <w:p>
      <w:pPr>
        <w:pStyle w:val="ListBullet"/>
        <w:ind w:left="360" w:hanging="360"/>
      </w:pPr>
      <w:r>
        <w:rPr>
          <w:rFonts w:ascii="Calibri" w:hAnsi="Calibri"/>
          <w:b/>
          <w:color w:val="525866"/>
          <w:sz w:val="22"/>
        </w:rPr>
        <w:t xml:space="preserve">Uber One Membership Surpassed 50M, Growing 50% YoY. </w:t>
      </w:r>
      <w:r>
        <w:rPr>
          <w:rFonts w:ascii="Calibri" w:hAnsi="Calibri"/>
          <w:color w:val="525866"/>
          <w:sz w:val="22"/>
        </w:rPr>
        <w:t>Uber One membership crossed 50 million globally, growing 50% YoY, with members spending “3x more” than non-members. Uber One now accounts for “over 50% of bookings.” This is a strong read-through for DASH's DashPass/Wolt+ membership narrative — if the category leader is seeing this level of membership engagement, DASH's own record membership quarter in Q1 is likely to have continued into Q2.</w:t>
      </w:r>
    </w:p>
    <w:p>
      <w:pPr>
        <w:pStyle w:val="ListBullet"/>
        <w:ind w:left="360" w:hanging="360"/>
      </w:pPr>
      <w:r>
        <w:rPr>
          <w:rFonts w:ascii="Calibri" w:hAnsi="Calibri"/>
          <w:b/>
          <w:color w:val="525866"/>
          <w:sz w:val="22"/>
        </w:rPr>
        <w:t xml:space="preserve">European Competitive Dynamics: Uber “Held Its Own” vs. DoorDash/Prosus. </w:t>
      </w:r>
      <w:r>
        <w:rPr>
          <w:rFonts w:ascii="Calibri" w:hAnsi="Calibri"/>
          <w:color w:val="525866"/>
          <w:sz w:val="22"/>
        </w:rPr>
        <w:t>Uber acknowledged “incremental competitive intensity from both DoorDash and Prosus” in Europe but said it “held our own quite well” and is on the offensive, announcing expansion to 7 new markets. This confirms DASH is actively competing and gaining in Europe (consistent with Deliveroo re-acceleration commentary), though it also signals that European market share gains may come at a cost.</w:t>
      </w:r>
    </w:p>
    <w:p>
      <w:pPr>
        <w:pStyle w:val="ListBullet"/>
        <w:ind w:left="360" w:hanging="360"/>
      </w:pPr>
      <w:r>
        <w:rPr>
          <w:rFonts w:ascii="Calibri" w:hAnsi="Calibri"/>
          <w:b/>
          <w:color w:val="525866"/>
          <w:sz w:val="22"/>
        </w:rPr>
        <w:t xml:space="preserve">Bernstein Conference (May 28): Delivery Business “Quite Underappreciated,” International Markets Growing 20%+. </w:t>
      </w:r>
      <w:r>
        <w:rPr>
          <w:rFonts w:ascii="Calibri" w:hAnsi="Calibri"/>
          <w:color w:val="525866"/>
          <w:sz w:val="22"/>
        </w:rPr>
        <w:t>Uber CFO Balaji Krishnamurthy described the global delivery business as “quite underappreciated,” with marquee international markets (Canada, UK, France, Australia, Taiwan, Japan) growing at “roughly 20% or higher.” Japan specifically “accelerated into 20%+ growth territory.” This is a positive read-through for DASH's international segment (Wolt + Deliveroo), which management said is growing faster than the US and at near-historical highs.</w:t>
      </w:r>
    </w:p>
    <w:p>
      <w:pPr>
        <w:pStyle w:val="ListBullet"/>
        <w:ind w:left="360" w:hanging="360"/>
      </w:pPr>
      <w:r>
        <w:rPr>
          <w:rFonts w:ascii="Calibri" w:hAnsi="Calibri"/>
          <w:b/>
          <w:color w:val="525866"/>
          <w:sz w:val="22"/>
        </w:rPr>
        <w:t xml:space="preserve">Q2 Profit Margin Expansion Continuing. </w:t>
      </w:r>
      <w:r>
        <w:rPr>
          <w:rFonts w:ascii="Calibri" w:hAnsi="Calibri"/>
          <w:color w:val="525866"/>
          <w:sz w:val="22"/>
        </w:rPr>
        <w:t>Uber CFO noted the company is “showing continued profit margin expansion” in Q2, with Q1 profits compounding at “about 50% CAGR” and free cash flow conversion “north of 100%.” This is a constructive read-through for DASH's own EBITDA margin expansion narrative heading into Q2.</w:t>
      </w:r>
    </w:p>
    <w:p>
      <w:pPr>
        <w:pStyle w:val="Heading3"/>
      </w:pPr>
      <w:r>
        <w:rPr>
          <w:rFonts w:ascii="Calibri" w:hAnsi="Calibri"/>
          <w:b/>
          <w:color w:val="3B4259"/>
          <w:sz w:val="24"/>
        </w:rPr>
        <w:t>Lyft (LYFT) — Q1 2026 Earnings Call (May 7, 2026)</w:t>
      </w:r>
    </w:p>
    <w:p>
      <w:pPr>
        <w:pStyle w:val="ListBullet"/>
        <w:ind w:left="360" w:hanging="360"/>
      </w:pPr>
      <w:r>
        <w:rPr>
          <w:rFonts w:ascii="Calibri" w:hAnsi="Calibri"/>
          <w:b/>
          <w:color w:val="525866"/>
          <w:sz w:val="22"/>
        </w:rPr>
        <w:t xml:space="preserve">Q2 2026 Gross Bookings Guided to Accelerate to ~20% YoY; EBITDA +30%+. </w:t>
      </w:r>
      <w:r>
        <w:rPr>
          <w:rFonts w:ascii="Calibri" w:hAnsi="Calibri"/>
          <w:color w:val="525866"/>
          <w:sz w:val="22"/>
        </w:rPr>
        <w:t>Lyft guided Q2 2026 gross bookings growth to accelerate to approximately 20% YoY at the midpoint, with adjusted EBITDA expanding more than 30% YoY. Management stated: “our rides are going to — overall, we’re seeing acceleration in Q2 and beyond.” While Lyft is a rideshare-focused business, the acceleration in consumer mobility spending is a positive macro read-through for DASH's delivery demand.</w:t>
      </w:r>
    </w:p>
    <w:p>
      <w:pPr>
        <w:pStyle w:val="ListBullet"/>
        <w:ind w:left="360" w:hanging="360"/>
      </w:pPr>
      <w:r>
        <w:rPr>
          <w:rFonts w:ascii="Calibri" w:hAnsi="Calibri"/>
          <w:b/>
          <w:color w:val="525866"/>
          <w:sz w:val="22"/>
        </w:rPr>
        <w:t xml:space="preserve">DoorDash Partnership Driving Heavy Users to Lyft. </w:t>
      </w:r>
      <w:r>
        <w:rPr>
          <w:rFonts w:ascii="Calibri" w:hAnsi="Calibri"/>
          <w:color w:val="525866"/>
          <w:sz w:val="22"/>
        </w:rPr>
        <w:t>Lyft CEO noted that DoorDash customers are “very heavy users” of Lyft, with partnership-tagged rides reaching a record 27% of all ride requests in Q1 2026 (up from 20% when the partnership launched ~1.5 years ago). This is an indirect positive signal for DASH's consumer engagement — DASH customers are highly active across local commerce platforms, suggesting strong underlying demand.</w:t>
      </w:r>
    </w:p>
    <w:p>
      <w:pPr>
        <w:pStyle w:val="ListBullet"/>
        <w:ind w:left="360" w:hanging="360"/>
      </w:pPr>
      <w:r>
        <w:rPr>
          <w:rFonts w:ascii="Calibri" w:hAnsi="Calibri"/>
          <w:b/>
          <w:color w:val="525866"/>
          <w:sz w:val="22"/>
        </w:rPr>
        <w:t xml:space="preserve">Rideshare Demand Remained Healthy; California Accelerating. </w:t>
      </w:r>
      <w:r>
        <w:rPr>
          <w:rFonts w:ascii="Calibri" w:hAnsi="Calibri"/>
          <w:color w:val="525866"/>
          <w:sz w:val="22"/>
        </w:rPr>
        <w:t>Lyft confirmed “rideshare demand remained healthy” in Q1, with California growth accelerating into Q2 following insurance reform. This is a positive macro read-through for consumer spending on local services broadly, which benefits DASH's delivery demand.</w:t>
      </w:r>
    </w:p>
    <w:p>
      <w:pPr>
        <w:pStyle w:val="Heading3"/>
      </w:pPr>
      <w:r>
        <w:rPr>
          <w:rFonts w:ascii="Calibri" w:hAnsi="Calibri"/>
          <w:b/>
          <w:color w:val="3B4259"/>
          <w:sz w:val="24"/>
        </w:rPr>
        <w:t>Amazon (AMZN) — Q2 2026 Earnings Call (July 30, 2026)</w:t>
      </w:r>
    </w:p>
    <w:p>
      <w:pPr>
        <w:pStyle w:val="ListBullet"/>
        <w:ind w:left="360" w:hanging="360"/>
      </w:pPr>
      <w:r>
        <w:rPr>
          <w:rFonts w:ascii="Calibri" w:hAnsi="Calibri"/>
          <w:b/>
          <w:color w:val="525866"/>
          <w:sz w:val="22"/>
        </w:rPr>
        <w:t xml:space="preserve">Grocery &amp; Everyday Essentials Seeing “Very Significant Traction.” </w:t>
      </w:r>
      <w:r>
        <w:rPr>
          <w:rFonts w:ascii="Calibri" w:hAnsi="Calibri"/>
          <w:color w:val="525866"/>
          <w:sz w:val="22"/>
        </w:rPr>
        <w:t>Amazon management described “very significant traction in our everyday essentials and in our grocery items,” with monthly active perishable customers growing 50%+ since the start of the year and same-day orders with perishables averaging 3x more units per order. Amazon Now (30-minute delivery) expanded to 80 new cities in Q2 with “over 80% growth in gross sales and units sold quarter over quarter.” This is a double-edged read-through for DASH: it confirms the grocery delivery category is growing rapidly (positive for DASH's new verticals), but also signals intensifying competition from Amazon in the ultra-fast delivery space.</w:t>
      </w:r>
    </w:p>
    <w:p>
      <w:pPr>
        <w:pStyle w:val="ListBullet"/>
        <w:ind w:left="360" w:hanging="360"/>
      </w:pPr>
      <w:r>
        <w:rPr>
          <w:rFonts w:ascii="Calibri" w:hAnsi="Calibri"/>
          <w:b/>
          <w:color w:val="525866"/>
          <w:sz w:val="22"/>
        </w:rPr>
        <w:t xml:space="preserve">Prime Membership Growth in Double Digits YoY. </w:t>
      </w:r>
      <w:r>
        <w:rPr>
          <w:rFonts w:ascii="Calibri" w:hAnsi="Calibri"/>
          <w:color w:val="525866"/>
          <w:sz w:val="22"/>
        </w:rPr>
        <w:t>Amazon noted Prime membership growth is “in the double digits year over year,” with customers using Alexa for shopping spending “over 40% more per order.” Strong Prime engagement is a positive read-through for subscription-driven delivery platforms like DASH (DashPass/Wolt+), as it confirms consumers are willing to pay for convenience memberships.</w:t>
      </w:r>
    </w:p>
    <w:p>
      <w:pPr>
        <w:pStyle w:val="ListBullet"/>
        <w:ind w:left="360" w:hanging="360"/>
      </w:pPr>
      <w:r>
        <w:rPr>
          <w:rFonts w:ascii="Calibri" w:hAnsi="Calibri"/>
          <w:b/>
          <w:color w:val="525866"/>
          <w:sz w:val="22"/>
        </w:rPr>
        <w:t xml:space="preserve">Q3 2026 Net Sales Guided $197–$202B (Adjusting for Prime Day Timing Shift). </w:t>
      </w:r>
      <w:r>
        <w:rPr>
          <w:rFonts w:ascii="Calibri" w:hAnsi="Calibri"/>
          <w:color w:val="525866"/>
          <w:sz w:val="22"/>
        </w:rPr>
        <w:t>Amazon's Q3 guidance implies continued strong consumer spending momentum after adjusting for the Prime Day timing shift (moved to Q2 in 2026 from Q3 in 2025). Management noted that “after adjusting for Prime Day, the stores business is showing strong customer engagement, growth and a continuation of the trends that we have seen in the first half of the year.” This is a positive macro read-through for consumer spending on delivery and local commerce in Q3.</w:t>
      </w:r>
    </w:p>
    <w:p>
      <w:pPr>
        <w:pStyle w:val="Heading3"/>
      </w:pPr>
      <w:r>
        <w:rPr>
          <w:rFonts w:ascii="Calibri" w:hAnsi="Calibri"/>
          <w:b/>
          <w:color w:val="3B4259"/>
          <w:sz w:val="24"/>
        </w:rPr>
        <w:t>Google / Alphabet (GOOGL) — Q2 2026 Earnings Call (July 22, 2026)</w:t>
      </w:r>
    </w:p>
    <w:p>
      <w:pPr>
        <w:pStyle w:val="ListBullet"/>
        <w:ind w:left="360" w:hanging="360"/>
      </w:pPr>
      <w:r>
        <w:rPr>
          <w:rFonts w:ascii="Calibri" w:hAnsi="Calibri"/>
          <w:b/>
          <w:color w:val="525866"/>
          <w:sz w:val="22"/>
        </w:rPr>
        <w:t xml:space="preserve">Wing Drone Delivery Partnerships with DoorDash &amp; Papa John’s. </w:t>
      </w:r>
      <w:r>
        <w:rPr>
          <w:rFonts w:ascii="Calibri" w:hAnsi="Calibri"/>
          <w:color w:val="525866"/>
          <w:sz w:val="22"/>
        </w:rPr>
        <w:t>Alphabet's Wing division “safely completed more than 1 million home deliveries” and is expanding through partnerships with Walmart, DoorDash, and Papa John’s. This is a direct positive signal for DASH's autonomous delivery strategy — the Wing partnership validates DASH's investment in drone/autonomous delivery infrastructure and could be a meaningful long-term GOV driver.</w:t>
      </w:r>
    </w:p>
    <w:p>
      <w:pPr>
        <w:pStyle w:val="ListBullet"/>
        <w:ind w:left="360" w:hanging="360"/>
      </w:pPr>
      <w:r>
        <w:rPr>
          <w:rFonts w:ascii="Calibri" w:hAnsi="Calibri"/>
          <w:b/>
          <w:color w:val="525866"/>
          <w:sz w:val="22"/>
        </w:rPr>
        <w:t xml:space="preserve">Retail Advertising Strongest Contributor to Search Growth. </w:t>
      </w:r>
      <w:r>
        <w:rPr>
          <w:rFonts w:ascii="Calibri" w:hAnsi="Calibri"/>
          <w:color w:val="525866"/>
          <w:sz w:val="22"/>
        </w:rPr>
        <w:t>Google noted retail was “the greatest contributor” to search revenue growth in Q2, with total advertising revenues up 14% YoY. Strong retail advertising demand is a positive read-through for DASH's advertising business, which management described as at “record highs” and growing faster than any prior year — the same macro tailwind driving Google's retail ad strength is likely benefiting DASH's ad platform.</w:t>
      </w:r>
    </w:p>
    <w:p>
      <w:pPr>
        <w:pStyle w:val="Heading3"/>
      </w:pPr>
      <w:r>
        <w:rPr>
          <w:rFonts w:ascii="Calibri" w:hAnsi="Calibri"/>
          <w:b/>
          <w:color w:val="3B4259"/>
          <w:sz w:val="24"/>
        </w:rPr>
        <w:t>Meta Platforms (META) — Q2 2026 Earnings Call (July 29, 2026)</w:t>
      </w:r>
    </w:p>
    <w:p>
      <w:pPr>
        <w:pStyle w:val="ListBullet"/>
        <w:ind w:left="360" w:hanging="360"/>
      </w:pPr>
      <w:r>
        <w:rPr>
          <w:rFonts w:ascii="Calibri" w:hAnsi="Calibri"/>
          <w:b/>
          <w:color w:val="525866"/>
          <w:sz w:val="22"/>
        </w:rPr>
        <w:t xml:space="preserve">Digital Advertising Demand Strong; Global Ad Prices +12% YoY. </w:t>
      </w:r>
      <w:r>
        <w:rPr>
          <w:rFonts w:ascii="Calibri" w:hAnsi="Calibri"/>
          <w:color w:val="525866"/>
          <w:sz w:val="22"/>
        </w:rPr>
        <w:t>Meta reported Q2 Family of Apps ad revenue of $59.4B (+27% YoY), with global average price per ad increasing 12% YoY driven by “improvements in macro conditions relative to Q2 of last year.” Meta's CEO noted that “on a dollar basis, our ads business is reporting faster year over year revenue growth than any other companies reported ad business.” Strong digital advertising demand is a positive read-through for DASH's advertising business, which is growing at record pace and expanding into CPG advertisers.</w:t>
      </w:r>
    </w:p>
    <w:p>
      <w:pPr>
        <w:pStyle w:val="ListBullet"/>
        <w:ind w:left="360" w:hanging="360"/>
      </w:pPr>
      <w:r>
        <w:rPr>
          <w:rFonts w:ascii="Calibri" w:hAnsi="Calibri"/>
          <w:b/>
          <w:color w:val="525866"/>
          <w:sz w:val="22"/>
        </w:rPr>
        <w:t xml:space="preserve">Q3 2026 Revenue Guided $61–$64B (+~20% YoY). </w:t>
      </w:r>
      <w:r>
        <w:rPr>
          <w:rFonts w:ascii="Calibri" w:hAnsi="Calibri"/>
          <w:color w:val="525866"/>
          <w:sz w:val="22"/>
        </w:rPr>
        <w:t>Meta's Q3 2026 revenue guidance of $61–$64B implies continued strong digital advertising demand into Q3, with only a modest FX headwind. This is a positive macro read-through for DASH's advertising revenue trajectory in H2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ongoing Dasher gas relief program</w:t>
      </w:r>
      <w:r>
        <w:rPr>
          <w:rFonts w:ascii="Calibri" w:hAnsi="Calibri"/>
          <w:color w:val="525866"/>
          <w:sz w:val="22"/>
        </w:rPr>
        <w:t xml:space="preserve"> — a ~$50M Q2 cost headwind that management has offset via investment deferrals, but whose potential Q3 extension is the primary binary risk heading into the print; all other developments (annual meeting, Wing partnership, advertising momentum) are incrementally positive.</w:t>
      </w:r>
    </w:p>
    <w:p>
      <w:pPr>
        <w:pStyle w:val="ListBullet"/>
        <w:ind w:left="360" w:hanging="360"/>
      </w:pPr>
      <w:r>
        <w:rPr>
          <w:rFonts w:ascii="Calibri" w:hAnsi="Calibri"/>
          <w:b/>
          <w:color w:val="525866"/>
          <w:sz w:val="22"/>
        </w:rPr>
        <w:t xml:space="preserve">July 6, 2026 — DoorDash Announces Q2 2026 Earnings Date (August 5, 2026). </w:t>
      </w:r>
      <w:r>
        <w:rPr>
          <w:rFonts w:ascii="Calibri" w:hAnsi="Calibri"/>
          <w:color w:val="525866"/>
          <w:sz w:val="22"/>
        </w:rPr>
        <w:t>DASH confirmed Q2 2026 results will be released after market close on August 5, 2026. No pre-announcement or guidance update was included. Implication: absence of a pre-announcement is a mild positive signal — management did not feel compelled to warn on results.</w:t>
      </w:r>
    </w:p>
    <w:p>
      <w:pPr>
        <w:pStyle w:val="ListBullet"/>
        <w:ind w:left="360" w:hanging="360"/>
      </w:pPr>
      <w:r>
        <w:rPr>
          <w:rFonts w:ascii="Calibri" w:hAnsi="Calibri"/>
          <w:b/>
          <w:color w:val="525866"/>
          <w:sz w:val="22"/>
        </w:rPr>
        <w:t xml:space="preserve">June 11, 2026 — Annual Shareholder Meeting: Directors, Auditor, and Executive Pay Approved. </w:t>
      </w:r>
      <w:r>
        <w:rPr>
          <w:rFonts w:ascii="Calibri" w:hAnsi="Calibri"/>
          <w:color w:val="525866"/>
          <w:sz w:val="22"/>
        </w:rPr>
        <w:t>DASH held its annual meeting with routine approvals of directors, auditor, and executive compensation. No material business updates or guidance changes were disclosed. Implication: no incremental information for the Q2 print.</w:t>
      </w:r>
    </w:p>
    <w:p>
      <w:pPr>
        <w:pStyle w:val="ListBullet"/>
        <w:ind w:left="360" w:hanging="360"/>
      </w:pPr>
      <w:r>
        <w:rPr>
          <w:rFonts w:ascii="Calibri" w:hAnsi="Calibri"/>
          <w:b/>
          <w:color w:val="525866"/>
          <w:sz w:val="22"/>
        </w:rPr>
        <w:t xml:space="preserve">May 6, 2026 — Q1 2026 Earnings: Mixed Print, Strong Guidance. </w:t>
      </w:r>
      <w:r>
        <w:rPr>
          <w:rFonts w:ascii="Calibri" w:hAnsi="Calibri"/>
          <w:color w:val="525866"/>
          <w:sz w:val="22"/>
        </w:rPr>
        <w:t>Revenue missed consensus ($4.04B vs. $4.15B expected) while EPS beat meaningfully; Adjusted EBITDA exceeded the Q1 guidance midpoint. Q2 GOV guidance of $32.4–$33.4B came in above prior-period trajectory. Stock rallied sharply in after-hours. Implication: this set the baseline for Q2 expectations and established the Dasher gas relief program as the key cost watch item.</w:t>
      </w:r>
    </w:p>
    <w:p>
      <w:pPr>
        <w:pStyle w:val="ListBullet"/>
        <w:ind w:left="360" w:hanging="360"/>
      </w:pPr>
      <w:r>
        <w:rPr>
          <w:rFonts w:ascii="Calibri" w:hAnsi="Calibri"/>
          <w:b/>
          <w:color w:val="525866"/>
          <w:sz w:val="22"/>
        </w:rPr>
        <w:t xml:space="preserve">Ongoing — Dasher Gas Relief Program (~$50M Q2 Cost). </w:t>
      </w:r>
      <w:r>
        <w:rPr>
          <w:rFonts w:ascii="Calibri" w:hAnsi="Calibri"/>
          <w:color w:val="525866"/>
          <w:sz w:val="22"/>
        </w:rPr>
        <w:t>Management introduced the Dasher gas rewards program in Q1 2026 (~$50M gross cost) and extended it into Q2 (~$50M gross cost). Offsets were found by deferring H1 investments to H2. No decision has been made on Q3 extension. Implication: if extended, it would represent a new ~$50M headwind vs. current H2 EBITDA ramp expectations and could pressure the full-year margin guidance.</w:t>
      </w:r>
    </w:p>
    <w:p>
      <w:pPr>
        <w:pStyle w:val="ListBullet"/>
        <w:ind w:left="360" w:hanging="360"/>
      </w:pPr>
      <w:r>
        <w:rPr>
          <w:rFonts w:ascii="Calibri" w:hAnsi="Calibri"/>
          <w:b/>
          <w:color w:val="525866"/>
          <w:sz w:val="22"/>
        </w:rPr>
        <w:t xml:space="preserve">Ongoing — Deliveroo Re-Acceleration at Highest Growth Rate in 4 Years. </w:t>
      </w:r>
      <w:r>
        <w:rPr>
          <w:rFonts w:ascii="Calibri" w:hAnsi="Calibri"/>
          <w:color w:val="525866"/>
          <w:sz w:val="22"/>
        </w:rPr>
        <w:t>Management confirmed on the Q1 call that Deliveroo is seeing its highest growth rate in four years, re-accelerating each month since acquisition. This is a key incremental GOV driver for Q2 and H2 2026 that is not fully reflected in consensus estimates.</w:t>
      </w:r>
    </w:p>
    <w:p>
      <w:pPr>
        <w:pStyle w:val="ListBullet"/>
        <w:ind w:left="360" w:hanging="360"/>
      </w:pPr>
      <w:r>
        <w:rPr>
          <w:rFonts w:ascii="Calibri" w:hAnsi="Calibri"/>
          <w:b/>
          <w:color w:val="525866"/>
          <w:sz w:val="22"/>
        </w:rPr>
        <w:t xml:space="preserve">Ongoing — Advertising Business at Record Highs, CPG Segment Unlocked. </w:t>
      </w:r>
      <w:r>
        <w:rPr>
          <w:rFonts w:ascii="Calibri" w:hAnsi="Calibri"/>
          <w:color w:val="525866"/>
          <w:sz w:val="22"/>
        </w:rPr>
        <w:t>DASH's advertising revenue is at record highs and growing faster than any prior year, with CPG advertisers now a new segment alongside SMB and large restaurant/retail advertisers. Off-site ad syndication and in-store advertising cited as incremental growth vectors. Implication: advertising is becoming a more meaningful take rate contributor and could be a positive surprise driver in Q2.</w:t>
      </w:r>
    </w:p>
    <w:p>
      <w:pPr>
        <w:pStyle w:val="ListBullet"/>
        <w:ind w:left="360" w:hanging="360"/>
      </w:pPr>
      <w:r>
        <w:rPr>
          <w:rFonts w:ascii="Calibri" w:hAnsi="Calibri"/>
          <w:b/>
          <w:color w:val="525866"/>
          <w:sz w:val="22"/>
        </w:rPr>
        <w:t xml:space="preserve">Ongoing — Global Tech Replatforming Live in Production. </w:t>
      </w:r>
      <w:r>
        <w:rPr>
          <w:rFonts w:ascii="Calibri" w:hAnsi="Calibri"/>
          <w:color w:val="525866"/>
          <w:sz w:val="22"/>
        </w:rPr>
        <w:t>The global tech stack consolidation (DoorDash + Wolt + Deliveroo) is now live in production with early velocity and quality benefits visible. Majority of redundant parallel stack costs expected to run through 2026 with some bleed into early 2027. Implication: near-term cost drag continues but the strategic payoff (ship features once for all three brands) is beginning to materialize.</w:t>
      </w:r>
    </w:p>
    <w:p>
      <w:pPr>
        <w:pStyle w:val="ListBullet"/>
        <w:ind w:left="360" w:hanging="360"/>
      </w:pPr>
      <w:r>
        <w:rPr>
          <w:rFonts w:ascii="Calibri" w:hAnsi="Calibri"/>
          <w:b/>
          <w:color w:val="525866"/>
          <w:sz w:val="22"/>
        </w:rPr>
        <w:t xml:space="preserve">Ongoing — New Verticals Tracking Toward Gross Profit Positive in H2 2026. </w:t>
      </w:r>
      <w:r>
        <w:rPr>
          <w:rFonts w:ascii="Calibri" w:hAnsi="Calibri"/>
          <w:color w:val="525866"/>
          <w:sz w:val="22"/>
        </w:rPr>
        <w:t>Management confirmed new verticals (grocery, retail, convenience) are tracking well toward gross profit positive in H2 2026, with DASH capturing approximately 1 in 2 new grocery delivery customers entering the category for the first time. DashMart Fulfillment Services is live with a handful of partners. Implication: any Q2 update on the H2 gross profit positive timeline would be a key catalyst.</w:t>
      </w:r>
    </w:p>
    <w:p>
      <w:pPr>
        <w:pStyle w:val="ListBullet"/>
        <w:ind w:left="360" w:hanging="360"/>
      </w:pPr>
      <w:r>
        <w:rPr>
          <w:rFonts w:ascii="Calibri" w:hAnsi="Calibri"/>
          <w:b/>
          <w:color w:val="525866"/>
          <w:sz w:val="22"/>
        </w:rPr>
        <w:t xml:space="preserve">Ongoing — Alphabet/Wing Drone Delivery Partnership with DoorDash. </w:t>
      </w:r>
      <w:r>
        <w:rPr>
          <w:rFonts w:ascii="Calibri" w:hAnsi="Calibri"/>
          <w:color w:val="525866"/>
          <w:sz w:val="22"/>
        </w:rPr>
        <w:t>Google's Wing division (confirmed on July 22 Q2 earnings call) has completed 1M+ home deliveries and is expanding through a partnership with DoorDash. Implication: validates DASH's autonomous delivery strategy and could be a meaningful long-term GOV driver, though near-term financial impact is minimal.</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all insider activity since Q1 earnings consists of </w:t>
      </w:r>
      <w:r>
        <w:rPr>
          <w:rFonts w:ascii="Calibri" w:hAnsi="Calibri"/>
          <w:b/>
          <w:color w:val="525866"/>
          <w:sz w:val="22"/>
        </w:rPr>
        <w:t>routine 10b5-1 planned sales and RSU-related transactions</w:t>
      </w:r>
      <w:r>
        <w:rPr>
          <w:rFonts w:ascii="Calibri" w:hAnsi="Calibri"/>
          <w:color w:val="525866"/>
          <w:sz w:val="22"/>
        </w:rPr>
        <w:t xml:space="preserve"> — nothing unusual in size, clustering, or timing that would signal insider concern or conviction ahead of the Q2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Inukonda Ravi</w:t>
            </w:r>
          </w:p>
        </w:tc>
        <w:tc>
          <w:tcPr>
            <w:tcW w:type="dxa" w:w="1440"/>
          </w:tcPr>
          <w:p>
            <w:r>
              <w:rPr>
                <w:rFonts w:ascii="Calibri" w:hAnsi="Calibri"/>
                <w:sz w:val="22"/>
              </w:rPr>
              <w:t>CFO</w:t>
            </w:r>
          </w:p>
        </w:tc>
        <w:tc>
          <w:tcPr>
            <w:tcW w:type="dxa" w:w="1440"/>
          </w:tcPr>
          <w:p>
            <w:r>
              <w:rPr>
                <w:rFonts w:ascii="Calibri" w:hAnsi="Calibri"/>
                <w:sz w:val="22"/>
              </w:rPr>
              <w:t>10b5-1 Planned Sale</w:t>
            </w:r>
          </w:p>
        </w:tc>
        <w:tc>
          <w:tcPr>
            <w:tcW w:type="dxa" w:w="1440"/>
          </w:tcPr>
          <w:p>
            <w:r>
              <w:rPr>
                <w:rFonts w:ascii="Calibri" w:hAnsi="Calibri"/>
                <w:sz w:val="22"/>
              </w:rPr>
              <w:t>19,095</w:t>
            </w:r>
          </w:p>
        </w:tc>
        <w:tc>
          <w:tcPr>
            <w:tcW w:type="dxa" w:w="1440"/>
          </w:tcPr>
          <w:p>
            <w:r>
              <w:rPr>
                <w:rFonts w:ascii="Calibri" w:hAnsi="Calibri"/>
                <w:sz w:val="22"/>
              </w:rPr>
              <w:t>Jul 8, 2026</w:t>
            </w:r>
          </w:p>
        </w:tc>
        <w:tc>
          <w:tcPr>
            <w:tcW w:type="dxa" w:w="1440"/>
          </w:tcPr>
          <w:p>
            <w:r>
              <w:rPr>
                <w:rFonts w:ascii="Calibri" w:hAnsi="Calibri"/>
                <w:sz w:val="22"/>
              </w:rPr>
              <w:t>Routine 10b5-1 plan; also exercised 4,068 options same date</w:t>
            </w:r>
          </w:p>
        </w:tc>
      </w:tr>
      <w:tr>
        <w:tc>
          <w:tcPr>
            <w:tcW w:type="dxa" w:w="1440"/>
          </w:tcPr>
          <w:p>
            <w:r>
              <w:rPr>
                <w:rFonts w:ascii="Calibri" w:hAnsi="Calibri"/>
                <w:sz w:val="22"/>
              </w:rPr>
              <w:t>Tang Stanley</w:t>
            </w:r>
          </w:p>
        </w:tc>
        <w:tc>
          <w:tcPr>
            <w:tcW w:type="dxa" w:w="1440"/>
          </w:tcPr>
          <w:p>
            <w:r>
              <w:rPr>
                <w:rFonts w:ascii="Calibri" w:hAnsi="Calibri"/>
                <w:sz w:val="22"/>
              </w:rPr>
              <w:t>Director</w:t>
            </w:r>
          </w:p>
        </w:tc>
        <w:tc>
          <w:tcPr>
            <w:tcW w:type="dxa" w:w="1440"/>
          </w:tcPr>
          <w:p>
            <w:r>
              <w:rPr>
                <w:rFonts w:ascii="Calibri" w:hAnsi="Calibri"/>
                <w:sz w:val="22"/>
              </w:rPr>
              <w:t>10b5-1 Planned Sale (Class B → A conversion + sale)</w:t>
            </w:r>
          </w:p>
        </w:tc>
        <w:tc>
          <w:tcPr>
            <w:tcW w:type="dxa" w:w="1440"/>
          </w:tcPr>
          <w:p>
            <w:r>
              <w:rPr>
                <w:rFonts w:ascii="Calibri" w:hAnsi="Calibri"/>
                <w:sz w:val="22"/>
              </w:rPr>
              <w:t>23,125</w:t>
            </w:r>
          </w:p>
        </w:tc>
        <w:tc>
          <w:tcPr>
            <w:tcW w:type="dxa" w:w="1440"/>
          </w:tcPr>
          <w:p>
            <w:r>
              <w:rPr>
                <w:rFonts w:ascii="Calibri" w:hAnsi="Calibri"/>
                <w:sz w:val="22"/>
              </w:rPr>
              <w:t>Jul 2, 2026</w:t>
            </w:r>
          </w:p>
        </w:tc>
        <w:tc>
          <w:tcPr>
            <w:tcW w:type="dxa" w:w="1440"/>
          </w:tcPr>
          <w:p>
            <w:r>
              <w:rPr>
                <w:rFonts w:ascii="Calibri" w:hAnsi="Calibri"/>
                <w:sz w:val="22"/>
              </w:rPr>
              <w:t>Routine Class B to Class A conversion and sale; recurring pattern (same structure in Jun, May)</w:t>
            </w:r>
          </w:p>
        </w:tc>
      </w:tr>
      <w:tr>
        <w:tc>
          <w:tcPr>
            <w:tcW w:type="dxa" w:w="1440"/>
          </w:tcPr>
          <w:p>
            <w:r>
              <w:rPr>
                <w:rFonts w:ascii="Calibri" w:hAnsi="Calibri"/>
                <w:sz w:val="22"/>
              </w:rPr>
              <w:t>Fang Andy</w:t>
            </w:r>
          </w:p>
        </w:tc>
        <w:tc>
          <w:tcPr>
            <w:tcW w:type="dxa" w:w="1440"/>
          </w:tcPr>
          <w:p>
            <w:r>
              <w:rPr>
                <w:rFonts w:ascii="Calibri" w:hAnsi="Calibri"/>
                <w:sz w:val="22"/>
              </w:rPr>
              <w:t>Director</w:t>
            </w:r>
          </w:p>
        </w:tc>
        <w:tc>
          <w:tcPr>
            <w:tcW w:type="dxa" w:w="1440"/>
          </w:tcPr>
          <w:p>
            <w:r>
              <w:rPr>
                <w:rFonts w:ascii="Calibri" w:hAnsi="Calibri"/>
                <w:sz w:val="22"/>
              </w:rPr>
              <w:t>10b5-1 Planned Sale (Class B → A conversion + sale)</w:t>
            </w:r>
          </w:p>
        </w:tc>
        <w:tc>
          <w:tcPr>
            <w:tcW w:type="dxa" w:w="1440"/>
          </w:tcPr>
          <w:p>
            <w:r>
              <w:rPr>
                <w:rFonts w:ascii="Calibri" w:hAnsi="Calibri"/>
                <w:sz w:val="22"/>
              </w:rPr>
              <w:t>5,000</w:t>
            </w:r>
          </w:p>
        </w:tc>
        <w:tc>
          <w:tcPr>
            <w:tcW w:type="dxa" w:w="1440"/>
          </w:tcPr>
          <w:p>
            <w:r>
              <w:rPr>
                <w:rFonts w:ascii="Calibri" w:hAnsi="Calibri"/>
                <w:sz w:val="22"/>
              </w:rPr>
              <w:t>Jul 1, 2026</w:t>
            </w:r>
          </w:p>
        </w:tc>
        <w:tc>
          <w:tcPr>
            <w:tcW w:type="dxa" w:w="1440"/>
          </w:tcPr>
          <w:p>
            <w:r>
              <w:rPr>
                <w:rFonts w:ascii="Calibri" w:hAnsi="Calibri"/>
                <w:sz w:val="22"/>
              </w:rPr>
              <w:t>Routine Class B to Class A conversion and sale; recurring pattern</w:t>
            </w:r>
          </w:p>
        </w:tc>
      </w:tr>
      <w:tr>
        <w:tc>
          <w:tcPr>
            <w:tcW w:type="dxa" w:w="1440"/>
          </w:tcPr>
          <w:p>
            <w:r>
              <w:rPr>
                <w:rFonts w:ascii="Calibri" w:hAnsi="Calibri"/>
                <w:sz w:val="22"/>
              </w:rPr>
              <w:t>Brown Shona L</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582</w:t>
            </w:r>
          </w:p>
        </w:tc>
        <w:tc>
          <w:tcPr>
            <w:tcW w:type="dxa" w:w="1440"/>
          </w:tcPr>
          <w:p>
            <w:r>
              <w:rPr>
                <w:rFonts w:ascii="Calibri" w:hAnsi="Calibri"/>
                <w:sz w:val="22"/>
              </w:rPr>
              <w:t>Jun 26, 2026</w:t>
            </w:r>
          </w:p>
        </w:tc>
        <w:tc>
          <w:tcPr>
            <w:tcW w:type="dxa" w:w="1440"/>
          </w:tcPr>
          <w:p>
            <w:r>
              <w:rPr>
                <w:rFonts w:ascii="Calibri" w:hAnsi="Calibri"/>
                <w:sz w:val="22"/>
              </w:rPr>
              <w:t>Small discretionary sale; not on 10b5-1 plan; immaterial size</w:t>
            </w:r>
          </w:p>
        </w:tc>
      </w:tr>
      <w:tr>
        <w:tc>
          <w:tcPr>
            <w:tcW w:type="dxa" w:w="1440"/>
          </w:tcPr>
          <w:p>
            <w:r>
              <w:rPr>
                <w:rFonts w:ascii="Calibri" w:hAnsi="Calibri"/>
                <w:sz w:val="22"/>
              </w:rPr>
              <w:t>Fang Andy</w:t>
            </w:r>
          </w:p>
        </w:tc>
        <w:tc>
          <w:tcPr>
            <w:tcW w:type="dxa" w:w="1440"/>
          </w:tcPr>
          <w:p>
            <w:r>
              <w:rPr>
                <w:rFonts w:ascii="Calibri" w:hAnsi="Calibri"/>
                <w:sz w:val="22"/>
              </w:rPr>
              <w:t>Director</w:t>
            </w:r>
          </w:p>
        </w:tc>
        <w:tc>
          <w:tcPr>
            <w:tcW w:type="dxa" w:w="1440"/>
          </w:tcPr>
          <w:p>
            <w:r>
              <w:rPr>
                <w:rFonts w:ascii="Calibri" w:hAnsi="Calibri"/>
                <w:sz w:val="22"/>
              </w:rPr>
              <w:t>10b5-1 Planned Sale (Class B → A conversion + sale)</w:t>
            </w:r>
          </w:p>
        </w:tc>
        <w:tc>
          <w:tcPr>
            <w:tcW w:type="dxa" w:w="1440"/>
          </w:tcPr>
          <w:p>
            <w:r>
              <w:rPr>
                <w:rFonts w:ascii="Calibri" w:hAnsi="Calibri"/>
                <w:sz w:val="22"/>
              </w:rPr>
              <w:t>5,000</w:t>
            </w:r>
          </w:p>
        </w:tc>
        <w:tc>
          <w:tcPr>
            <w:tcW w:type="dxa" w:w="1440"/>
          </w:tcPr>
          <w:p>
            <w:r>
              <w:rPr>
                <w:rFonts w:ascii="Calibri" w:hAnsi="Calibri"/>
                <w:sz w:val="22"/>
              </w:rPr>
              <w:t>Jun 24, 2026</w:t>
            </w:r>
          </w:p>
        </w:tc>
        <w:tc>
          <w:tcPr>
            <w:tcW w:type="dxa" w:w="1440"/>
          </w:tcPr>
          <w:p>
            <w:r>
              <w:rPr>
                <w:rFonts w:ascii="Calibri" w:hAnsi="Calibri"/>
                <w:sz w:val="22"/>
              </w:rPr>
              <w:t>Routine Class B to Class A conversion and sale</w:t>
            </w:r>
          </w:p>
        </w:tc>
      </w:tr>
      <w:tr>
        <w:tc>
          <w:tcPr>
            <w:tcW w:type="dxa" w:w="1440"/>
          </w:tcPr>
          <w:p>
            <w:r>
              <w:rPr>
                <w:rFonts w:ascii="Calibri" w:hAnsi="Calibri"/>
                <w:sz w:val="22"/>
              </w:rPr>
              <w:t>Yandell Keith</w:t>
            </w:r>
          </w:p>
        </w:tc>
        <w:tc>
          <w:tcPr>
            <w:tcW w:type="dxa" w:w="1440"/>
          </w:tcPr>
          <w:p>
            <w:r>
              <w:rPr>
                <w:rFonts w:ascii="Calibri" w:hAnsi="Calibri"/>
                <w:sz w:val="22"/>
              </w:rPr>
              <w:t>Chief Business Officer</w:t>
            </w:r>
          </w:p>
        </w:tc>
        <w:tc>
          <w:tcPr>
            <w:tcW w:type="dxa" w:w="1440"/>
          </w:tcPr>
          <w:p>
            <w:r>
              <w:rPr>
                <w:rFonts w:ascii="Calibri" w:hAnsi="Calibri"/>
                <w:sz w:val="22"/>
              </w:rPr>
              <w:t>RSU Award (Grant)</w:t>
            </w:r>
          </w:p>
        </w:tc>
        <w:tc>
          <w:tcPr>
            <w:tcW w:type="dxa" w:w="1440"/>
          </w:tcPr>
          <w:p>
            <w:r>
              <w:rPr>
                <w:rFonts w:ascii="Calibri" w:hAnsi="Calibri"/>
                <w:sz w:val="22"/>
              </w:rPr>
              <w:t>49,728</w:t>
            </w:r>
          </w:p>
        </w:tc>
        <w:tc>
          <w:tcPr>
            <w:tcW w:type="dxa" w:w="1440"/>
          </w:tcPr>
          <w:p>
            <w:r>
              <w:rPr>
                <w:rFonts w:ascii="Calibri" w:hAnsi="Calibri"/>
                <w:sz w:val="22"/>
              </w:rPr>
              <w:t>Jun 22, 2026</w:t>
            </w:r>
          </w:p>
        </w:tc>
        <w:tc>
          <w:tcPr>
            <w:tcW w:type="dxa" w:w="1440"/>
          </w:tcPr>
          <w:p>
            <w:r>
              <w:rPr>
                <w:rFonts w:ascii="Calibri" w:hAnsi="Calibri"/>
                <w:sz w:val="22"/>
              </w:rPr>
              <w:t>Equity award grant; not a sale; not on 10b5-1 plan</w:t>
            </w:r>
          </w:p>
        </w:tc>
      </w:tr>
      <w:tr>
        <w:tc>
          <w:tcPr>
            <w:tcW w:type="dxa" w:w="1440"/>
          </w:tcPr>
          <w:p>
            <w:r>
              <w:rPr>
                <w:rFonts w:ascii="Calibri" w:hAnsi="Calibri"/>
                <w:sz w:val="22"/>
              </w:rPr>
              <w:t>Multiple Directors (Blackburn, Brown, Doerr, Kovac, Lin, Mertz, Piacentini, Still)</w:t>
            </w:r>
          </w:p>
        </w:tc>
        <w:tc>
          <w:tcPr>
            <w:tcW w:type="dxa" w:w="1440"/>
          </w:tcPr>
          <w:p>
            <w:r>
              <w:rPr>
                <w:rFonts w:ascii="Calibri" w:hAnsi="Calibri"/>
                <w:sz w:val="22"/>
              </w:rPr>
              <w:t>Directors</w:t>
            </w:r>
          </w:p>
        </w:tc>
        <w:tc>
          <w:tcPr>
            <w:tcW w:type="dxa" w:w="1440"/>
          </w:tcPr>
          <w:p>
            <w:r>
              <w:rPr>
                <w:rFonts w:ascii="Calibri" w:hAnsi="Calibri"/>
                <w:sz w:val="22"/>
              </w:rPr>
              <w:t>RSU Award (Grant)</w:t>
            </w:r>
          </w:p>
        </w:tc>
        <w:tc>
          <w:tcPr>
            <w:tcW w:type="dxa" w:w="1440"/>
          </w:tcPr>
          <w:p>
            <w:r>
              <w:rPr>
                <w:rFonts w:ascii="Calibri" w:hAnsi="Calibri"/>
                <w:sz w:val="22"/>
              </w:rPr>
              <w:t>1,986 each</w:t>
            </w:r>
          </w:p>
        </w:tc>
        <w:tc>
          <w:tcPr>
            <w:tcW w:type="dxa" w:w="1440"/>
          </w:tcPr>
          <w:p>
            <w:r>
              <w:rPr>
                <w:rFonts w:ascii="Calibri" w:hAnsi="Calibri"/>
                <w:sz w:val="22"/>
              </w:rPr>
              <w:t>Jun 10, 2026</w:t>
            </w:r>
          </w:p>
        </w:tc>
        <w:tc>
          <w:tcPr>
            <w:tcW w:type="dxa" w:w="1440"/>
          </w:tcPr>
          <w:p>
            <w:r>
              <w:rPr>
                <w:rFonts w:ascii="Calibri" w:hAnsi="Calibri"/>
                <w:sz w:val="22"/>
              </w:rPr>
              <w:t>Annual director equity grants; routine; not sales</w:t>
            </w:r>
          </w:p>
        </w:tc>
      </w:tr>
      <w:tr>
        <w:tc>
          <w:tcPr>
            <w:tcW w:type="dxa" w:w="1440"/>
          </w:tcPr>
          <w:p>
            <w:r>
              <w:rPr>
                <w:rFonts w:ascii="Calibri" w:hAnsi="Calibri"/>
                <w:sz w:val="22"/>
              </w:rPr>
              <w:t>Tang Stanley</w:t>
            </w:r>
          </w:p>
        </w:tc>
        <w:tc>
          <w:tcPr>
            <w:tcW w:type="dxa" w:w="1440"/>
          </w:tcPr>
          <w:p>
            <w:r>
              <w:rPr>
                <w:rFonts w:ascii="Calibri" w:hAnsi="Calibri"/>
                <w:sz w:val="22"/>
              </w:rPr>
              <w:t>Director</w:t>
            </w:r>
          </w:p>
        </w:tc>
        <w:tc>
          <w:tcPr>
            <w:tcW w:type="dxa" w:w="1440"/>
          </w:tcPr>
          <w:p>
            <w:r>
              <w:rPr>
                <w:rFonts w:ascii="Calibri" w:hAnsi="Calibri"/>
                <w:sz w:val="22"/>
              </w:rPr>
              <w:t>10b5-1 Planned Sale (Class B → A conversion + sale)</w:t>
            </w:r>
          </w:p>
        </w:tc>
        <w:tc>
          <w:tcPr>
            <w:tcW w:type="dxa" w:w="1440"/>
          </w:tcPr>
          <w:p>
            <w:r>
              <w:rPr>
                <w:rFonts w:ascii="Calibri" w:hAnsi="Calibri"/>
                <w:sz w:val="22"/>
              </w:rPr>
              <w:t>23,125</w:t>
            </w:r>
          </w:p>
        </w:tc>
        <w:tc>
          <w:tcPr>
            <w:tcW w:type="dxa" w:w="1440"/>
          </w:tcPr>
          <w:p>
            <w:r>
              <w:rPr>
                <w:rFonts w:ascii="Calibri" w:hAnsi="Calibri"/>
                <w:sz w:val="22"/>
              </w:rPr>
              <w:t>Jun 2, 2026</w:t>
            </w:r>
          </w:p>
        </w:tc>
        <w:tc>
          <w:tcPr>
            <w:tcW w:type="dxa" w:w="1440"/>
          </w:tcPr>
          <w:p>
            <w:r>
              <w:rPr>
                <w:rFonts w:ascii="Calibri" w:hAnsi="Calibri"/>
                <w:sz w:val="22"/>
              </w:rPr>
              <w:t>Routine recurring Class B to Class A conversion and sale</w:t>
            </w:r>
          </w:p>
        </w:tc>
      </w:tr>
      <w:tr>
        <w:tc>
          <w:tcPr>
            <w:tcW w:type="dxa" w:w="1440"/>
          </w:tcPr>
          <w:p>
            <w:r>
              <w:rPr>
                <w:rFonts w:ascii="Calibri" w:hAnsi="Calibri"/>
                <w:sz w:val="22"/>
              </w:rPr>
              <w:t>Adarkar Prabir</w:t>
            </w:r>
          </w:p>
        </w:tc>
        <w:tc>
          <w:tcPr>
            <w:tcW w:type="dxa" w:w="1440"/>
          </w:tcPr>
          <w:p>
            <w:r>
              <w:rPr>
                <w:rFonts w:ascii="Calibri" w:hAnsi="Calibri"/>
                <w:sz w:val="22"/>
              </w:rPr>
              <w:t>President &amp; COO</w:t>
            </w:r>
          </w:p>
        </w:tc>
        <w:tc>
          <w:tcPr>
            <w:tcW w:type="dxa" w:w="1440"/>
          </w:tcPr>
          <w:p>
            <w:r>
              <w:rPr>
                <w:rFonts w:ascii="Calibri" w:hAnsi="Calibri"/>
                <w:sz w:val="22"/>
              </w:rPr>
              <w:t>Open Market Sale</w:t>
            </w:r>
          </w:p>
        </w:tc>
        <w:tc>
          <w:tcPr>
            <w:tcW w:type="dxa" w:w="1440"/>
          </w:tcPr>
          <w:p>
            <w:r>
              <w:rPr>
                <w:rFonts w:ascii="Calibri" w:hAnsi="Calibri"/>
                <w:sz w:val="22"/>
              </w:rPr>
              <w:t>17,126</w:t>
            </w:r>
          </w:p>
        </w:tc>
        <w:tc>
          <w:tcPr>
            <w:tcW w:type="dxa" w:w="1440"/>
          </w:tcPr>
          <w:p>
            <w:r>
              <w:rPr>
                <w:rFonts w:ascii="Calibri" w:hAnsi="Calibri"/>
                <w:sz w:val="22"/>
              </w:rPr>
              <w:t>May 20, 2026</w:t>
            </w:r>
          </w:p>
        </w:tc>
        <w:tc>
          <w:tcPr>
            <w:tcW w:type="dxa" w:w="1440"/>
          </w:tcPr>
          <w:p>
            <w:r>
              <w:rPr>
                <w:rFonts w:ascii="Calibri" w:hAnsi="Calibri"/>
                <w:sz w:val="22"/>
              </w:rPr>
              <w:t>Discretionary sale (not on 10b5-1 plan); largest single discretionary sale in the period but not unusual for a COO-level position</w:t>
            </w:r>
          </w:p>
        </w:tc>
      </w:tr>
      <w:tr>
        <w:tc>
          <w:tcPr>
            <w:tcW w:type="dxa" w:w="1440"/>
          </w:tcPr>
          <w:p>
            <w:r>
              <w:rPr>
                <w:rFonts w:ascii="Calibri" w:hAnsi="Calibri"/>
                <w:sz w:val="22"/>
              </w:rPr>
              <w:t>Inukonda Ravi</w:t>
            </w:r>
          </w:p>
        </w:tc>
        <w:tc>
          <w:tcPr>
            <w:tcW w:type="dxa" w:w="1440"/>
          </w:tcPr>
          <w:p>
            <w:r>
              <w:rPr>
                <w:rFonts w:ascii="Calibri" w:hAnsi="Calibri"/>
                <w:sz w:val="22"/>
              </w:rPr>
              <w:t>CFO</w:t>
            </w:r>
          </w:p>
        </w:tc>
        <w:tc>
          <w:tcPr>
            <w:tcW w:type="dxa" w:w="1440"/>
          </w:tcPr>
          <w:p>
            <w:r>
              <w:rPr>
                <w:rFonts w:ascii="Calibri" w:hAnsi="Calibri"/>
                <w:sz w:val="22"/>
              </w:rPr>
              <w:t>10b5-1 Planned Sale</w:t>
            </w:r>
          </w:p>
        </w:tc>
        <w:tc>
          <w:tcPr>
            <w:tcW w:type="dxa" w:w="1440"/>
          </w:tcPr>
          <w:p>
            <w:r>
              <w:rPr>
                <w:rFonts w:ascii="Calibri" w:hAnsi="Calibri"/>
                <w:sz w:val="22"/>
              </w:rPr>
              <w:t>19,505</w:t>
            </w:r>
          </w:p>
        </w:tc>
        <w:tc>
          <w:tcPr>
            <w:tcW w:type="dxa" w:w="1440"/>
          </w:tcPr>
          <w:p>
            <w:r>
              <w:rPr>
                <w:rFonts w:ascii="Calibri" w:hAnsi="Calibri"/>
                <w:sz w:val="22"/>
              </w:rPr>
              <w:t>May 20, 2026</w:t>
            </w:r>
          </w:p>
        </w:tc>
        <w:tc>
          <w:tcPr>
            <w:tcW w:type="dxa" w:w="1440"/>
          </w:tcPr>
          <w:p>
            <w:r>
              <w:rPr>
                <w:rFonts w:ascii="Calibri" w:hAnsi="Calibri"/>
                <w:sz w:val="22"/>
              </w:rPr>
              <w:t>Routine 10b5-1 plan sale</w:t>
            </w:r>
          </w:p>
        </w:tc>
      </w:tr>
      <w:tr>
        <w:tc>
          <w:tcPr>
            <w:tcW w:type="dxa" w:w="1440"/>
          </w:tcPr>
          <w:p>
            <w:r>
              <w:rPr>
                <w:rFonts w:ascii="Calibri" w:hAnsi="Calibri"/>
                <w:sz w:val="22"/>
              </w:rPr>
              <w:t>Kovac Milan</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20 (Feb 23) + 20 (Mar 27)</w:t>
            </w:r>
          </w:p>
        </w:tc>
        <w:tc>
          <w:tcPr>
            <w:tcW w:type="dxa" w:w="1440"/>
          </w:tcPr>
          <w:p>
            <w:r>
              <w:rPr>
                <w:rFonts w:ascii="Calibri" w:hAnsi="Calibri"/>
                <w:sz w:val="22"/>
              </w:rPr>
              <w:t>Filed Jun 8, 2026</w:t>
            </w:r>
          </w:p>
        </w:tc>
        <w:tc>
          <w:tcPr>
            <w:tcW w:type="dxa" w:w="1440"/>
          </w:tcPr>
          <w:p>
            <w:r>
              <w:rPr>
                <w:rFonts w:ascii="Calibri" w:hAnsi="Calibri"/>
                <w:sz w:val="22"/>
              </w:rPr>
              <w:t>Small open-market purchases; filed late; immaterial size; not a meaningful signal</w:t>
            </w:r>
          </w:p>
        </w:tc>
      </w:tr>
    </w:tbl>
    <w:p>
      <w:r>
        <w:rPr>
          <w:rFonts w:ascii="Calibri" w:hAnsi="Calibri"/>
          <w:b/>
          <w:color w:val="525866"/>
          <w:sz w:val="22"/>
        </w:rPr>
        <w:t xml:space="preserve">Overall Assessment: </w:t>
      </w:r>
      <w:r>
        <w:rPr>
          <w:rFonts w:ascii="Calibri" w:hAnsi="Calibri"/>
          <w:color w:val="525866"/>
          <w:sz w:val="22"/>
        </w:rPr>
        <w:t>Insider activity since Q1 2026 earnings is entirely routine. The dominant pattern is recurring Class B-to-Class A conversions and 10b5-1 planned sales by directors (Tang Stanley, Fang Andy) and executives (Inukonda Ravi, CFO). The one notable discretionary sale is COO Prabir Adarkar's 17,126-share open-market sale on May 20, 2026, which is not on a 10b5-1 plan, but the size is not unusual for a C-suite executive and occurred shortly after the Q1 earnings lock-up window opened. Director Milan Kovac made two small open-market purchases (20 shares each in February and March 2026, filed late in June) — the only buy-side activity, but immaterial in size. No clustered discretionary selling, no unusual size, and no 10b5-1 plan initiations that would signal pre-planned distribution ahead of a negative event.</w:t>
      </w:r>
    </w:p>
    <w:p>
      <w:r>
        <w:rPr>
          <w:rFonts w:ascii="Calibri" w:hAnsi="Calibri"/>
          <w:i/>
          <w:color w:val="525866"/>
          <w:sz w:val="22"/>
        </w:rPr>
        <w:t>Source: SEC Form 4 filings via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