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DoorDash, Inc. (DASH)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DoorDash, Inc.</w:t>
            </w:r>
          </w:p>
        </w:tc>
      </w:tr>
      <w:tr>
        <w:tc>
          <w:tcPr>
            <w:tcW w:type="dxa" w:w="4320"/>
          </w:tcPr>
          <w:p>
            <w:r>
              <w:rPr>
                <w:rFonts w:ascii="Calibri" w:hAnsi="Calibri"/>
                <w:b/>
                <w:sz w:val="22"/>
              </w:rPr>
              <w:t>Ticker</w:t>
            </w:r>
          </w:p>
        </w:tc>
        <w:tc>
          <w:tcPr>
            <w:tcW w:type="dxa" w:w="4320"/>
          </w:tcPr>
          <w:p>
            <w:r>
              <w:rPr>
                <w:rFonts w:ascii="Calibri" w:hAnsi="Calibri"/>
                <w:sz w:val="22"/>
              </w:rPr>
              <w:t>DASH (NYSE)</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August 5, 2026 (after U.S. market close)</w:t>
            </w:r>
          </w:p>
        </w:tc>
      </w:tr>
      <w:tr>
        <w:tc>
          <w:tcPr>
            <w:tcW w:type="dxa" w:w="4320"/>
          </w:tcPr>
          <w:p>
            <w:r>
              <w:rPr>
                <w:rFonts w:ascii="Calibri" w:hAnsi="Calibri"/>
                <w:b/>
                <w:sz w:val="22"/>
              </w:rPr>
              <w:t>Prepared</w:t>
            </w:r>
          </w:p>
        </w:tc>
        <w:tc>
          <w:tcPr>
            <w:tcW w:type="dxa" w:w="4320"/>
          </w:tcPr>
          <w:p>
            <w:r>
              <w:rPr>
                <w:rFonts w:ascii="Calibri" w:hAnsi="Calibri"/>
                <w:sz w:val="22"/>
              </w:rPr>
              <w:t>August 4, 2026</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The setup into Q2 2026 is constructive — consensus sits near the Q2 guidance midpoint on GOV and slightly above on EBITDA, the stock has recovered sharply from post-Q1 lows, and management's tone has been consistently confident. The biggest swing factor is whether the </w:t>
      </w:r>
      <w:r>
        <w:rPr>
          <w:rFonts w:ascii="Calibri" w:hAnsi="Calibri"/>
          <w:b/>
          <w:color w:val="525866"/>
          <w:sz w:val="22"/>
        </w:rPr>
        <w:t>Dasher gas relief program (~$50M+ gross cost)</w:t>
      </w:r>
      <w:r>
        <w:rPr>
          <w:rFonts w:ascii="Calibri" w:hAnsi="Calibri"/>
          <w:color w:val="525866"/>
          <w:sz w:val="22"/>
        </w:rPr>
        <w:t xml:space="preserve"> is fully offset by investment pushouts, or whether it pressures EBITDA more than the Street expects.</w:t>
      </w:r>
    </w:p>
    <w:p>
      <w:r>
        <w:rPr>
          <w:rFonts w:ascii="Calibri" w:hAnsi="Calibri"/>
          <w:color w:val="525866"/>
          <w:sz w:val="22"/>
        </w:rPr>
        <w:t xml:space="preserve">Heading into Q2 2026 results, DoorDash presents a </w:t>
      </w:r>
      <w:r>
        <w:rPr>
          <w:rFonts w:ascii="Calibri" w:hAnsi="Calibri"/>
          <w:b/>
          <w:color w:val="525866"/>
          <w:sz w:val="22"/>
        </w:rPr>
        <w:t>moderately favorable risk/reward setup.</w:t>
      </w:r>
      <w:r>
        <w:rPr>
          <w:rFonts w:ascii="Calibri" w:hAnsi="Calibri"/>
          <w:color w:val="525866"/>
          <w:sz w:val="22"/>
        </w:rPr>
        <w:t xml:space="preserve"> Management guided Q2 Marketplace GOV to $32.4B–$33.4B (midpoint $32.9B) and Adjusted EBITDA to $770M–$870M (midpoint $820M); current consensus sits at $32.9B GOV and $843M EBITDA, implying the Street is pricing in a slight EBITDA beat relative to the guidance midpoint. The estimate trajectory has been stable-to-slightly-rising since the Q1 print on May 6, with no material post-earnings guidance revision — management explicitly reaffirmed full-year EBITDA margin guidance (slightly above 2025 ex-Deliveroo, plus ~$200M Deliveroo contribution) and noted Q2 was "off to a good start." The stock has rallied ~20% from its post-Q1 lows, trading at ~19.6x NTM EV/EBITDA, a meaningful compression from the 30x+ level a year ago, suggesting the multiple is no longer a headwind. The key wildcard is the </w:t>
      </w:r>
      <w:r>
        <w:rPr>
          <w:rFonts w:ascii="Calibri" w:hAnsi="Calibri"/>
          <w:b/>
          <w:color w:val="525866"/>
          <w:sz w:val="22"/>
        </w:rPr>
        <w:t>Uber/Delivery Hero acquisition ($14.8B, announced July 16)</w:t>
      </w:r>
      <w:r>
        <w:rPr>
          <w:rFonts w:ascii="Calibri" w:hAnsi="Calibri"/>
          <w:color w:val="525866"/>
          <w:sz w:val="22"/>
        </w:rPr>
        <w:t xml:space="preserve"> — a transformative competitive event that reshapes the international delivery landscape and could prompt investors to reassess DASH's international growth premium heading into the print.</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w:t>
      </w:r>
      <w:r>
        <w:rPr>
          <w:rFonts w:ascii="Calibri" w:hAnsi="Calibri"/>
          <w:b/>
          <w:color w:val="525866"/>
          <w:sz w:val="22"/>
        </w:rPr>
        <w:t>manageable bar</w:t>
      </w:r>
      <w:r>
        <w:rPr>
          <w:rFonts w:ascii="Calibri" w:hAnsi="Calibri"/>
          <w:color w:val="525866"/>
          <w:sz w:val="22"/>
        </w:rPr>
        <w:t xml:space="preserve"> — GOV estimates are essentially in line with the guidance midpoint, while EBITDA consensus sits modestly above the midpoint, reflecting the Street's confidence that investment pushouts will offset the gas relief program cost. </w:t>
      </w:r>
      <w:r>
        <w:rPr>
          <w:rFonts w:ascii="Calibri" w:hAnsi="Calibri"/>
          <w:b/>
          <w:color w:val="525866"/>
          <w:sz w:val="22"/>
        </w:rPr>
        <w:t>Marketplace GOV</w:t>
      </w:r>
      <w:r>
        <w:rPr>
          <w:rFonts w:ascii="Calibri" w:hAnsi="Calibri"/>
          <w:color w:val="525866"/>
          <w:sz w:val="22"/>
        </w:rPr>
        <w:t xml:space="preserve"> is the primary volume swing factor; </w:t>
      </w:r>
      <w:r>
        <w:rPr>
          <w:rFonts w:ascii="Calibri" w:hAnsi="Calibri"/>
          <w:b/>
          <w:color w:val="525866"/>
          <w:sz w:val="22"/>
        </w:rPr>
        <w:t>Adjusted EBITDA</w:t>
      </w:r>
      <w:r>
        <w:rPr>
          <w:rFonts w:ascii="Calibri" w:hAnsi="Calibri"/>
          <w:color w:val="525866"/>
          <w:sz w:val="22"/>
        </w:rPr>
        <w:t xml:space="preserve"> is the profitability swing factor given the gas relief program uncertainty.</w:t>
      </w:r>
    </w:p>
    <w:p>
      <w:pPr>
        <w:pStyle w:val="Heading3"/>
      </w:pPr>
      <w:r>
        <w:rPr>
          <w:rFonts w:ascii="Calibri" w:hAnsi="Calibri"/>
          <w:b/>
          <w:color w:val="3B4259"/>
          <w:sz w:val="24"/>
        </w:rPr>
        <w:t>Table 1 — Q2 2026 Current Quarter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2026 Guidance</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Marketplace GOV ($B)</w:t>
            </w:r>
          </w:p>
        </w:tc>
        <w:tc>
          <w:tcPr>
            <w:tcW w:type="dxa" w:w="1234"/>
          </w:tcPr>
          <w:p>
            <w:r>
              <w:rPr>
                <w:rFonts w:ascii="Calibri" w:hAnsi="Calibri"/>
                <w:sz w:val="22"/>
              </w:rPr>
              <w:t>$31.6B</w:t>
            </w:r>
          </w:p>
        </w:tc>
        <w:tc>
          <w:tcPr>
            <w:tcW w:type="dxa" w:w="1234"/>
          </w:tcPr>
          <w:p>
            <w:r>
              <w:rPr>
                <w:rFonts w:ascii="Calibri" w:hAnsi="Calibri"/>
                <w:sz w:val="22"/>
              </w:rPr>
              <w:t>$24.2B</w:t>
            </w:r>
          </w:p>
        </w:tc>
        <w:tc>
          <w:tcPr>
            <w:tcW w:type="dxa" w:w="1234"/>
          </w:tcPr>
          <w:p>
            <w:r>
              <w:rPr>
                <w:rFonts w:ascii="Calibri" w:hAnsi="Calibri"/>
                <w:sz w:val="22"/>
              </w:rPr>
              <w:t>$32.9B</w:t>
            </w:r>
          </w:p>
        </w:tc>
        <w:tc>
          <w:tcPr>
            <w:tcW w:type="dxa" w:w="1234"/>
          </w:tcPr>
          <w:p>
            <w:r>
              <w:rPr>
                <w:rFonts w:ascii="Calibri" w:hAnsi="Calibri"/>
                <w:sz w:val="22"/>
              </w:rPr>
              <w:t>+35.7% YoY</w:t>
            </w:r>
          </w:p>
        </w:tc>
        <w:tc>
          <w:tcPr>
            <w:tcW w:type="dxa" w:w="1234"/>
          </w:tcPr>
          <w:p>
            <w:r>
              <w:rPr>
                <w:rFonts w:ascii="Calibri" w:hAnsi="Calibri"/>
                <w:sz w:val="22"/>
              </w:rPr>
              <w:t>$32.4B – $33.4B</w:t>
            </w:r>
          </w:p>
        </w:tc>
        <w:tc>
          <w:tcPr>
            <w:tcW w:type="dxa" w:w="1234"/>
          </w:tcPr>
          <w:p>
            <w:r>
              <w:rPr>
                <w:rFonts w:ascii="Calibri" w:hAnsi="Calibri"/>
                <w:sz w:val="22"/>
              </w:rPr>
              <w:t>+0.0% (at midpoint)</w:t>
            </w:r>
          </w:p>
        </w:tc>
      </w:tr>
      <w:tr>
        <w:tc>
          <w:tcPr>
            <w:tcW w:type="dxa" w:w="1234"/>
          </w:tcPr>
          <w:p>
            <w:r>
              <w:rPr>
                <w:rFonts w:ascii="Calibri" w:hAnsi="Calibri"/>
                <w:sz w:val="22"/>
              </w:rPr>
              <w:t>Revenue ($B)</w:t>
            </w:r>
          </w:p>
        </w:tc>
        <w:tc>
          <w:tcPr>
            <w:tcW w:type="dxa" w:w="1234"/>
          </w:tcPr>
          <w:p>
            <w:r>
              <w:rPr>
                <w:rFonts w:ascii="Calibri" w:hAnsi="Calibri"/>
                <w:sz w:val="22"/>
              </w:rPr>
              <w:t>$4.04B</w:t>
            </w:r>
          </w:p>
        </w:tc>
        <w:tc>
          <w:tcPr>
            <w:tcW w:type="dxa" w:w="1234"/>
          </w:tcPr>
          <w:p>
            <w:r>
              <w:rPr>
                <w:rFonts w:ascii="Calibri" w:hAnsi="Calibri"/>
                <w:sz w:val="22"/>
              </w:rPr>
              <w:t>$3.28B</w:t>
            </w:r>
          </w:p>
        </w:tc>
        <w:tc>
          <w:tcPr>
            <w:tcW w:type="dxa" w:w="1234"/>
          </w:tcPr>
          <w:p>
            <w:r>
              <w:rPr>
                <w:rFonts w:ascii="Calibri" w:hAnsi="Calibri"/>
                <w:sz w:val="22"/>
              </w:rPr>
              <w:t>$4.35B</w:t>
            </w:r>
          </w:p>
        </w:tc>
        <w:tc>
          <w:tcPr>
            <w:tcW w:type="dxa" w:w="1234"/>
          </w:tcPr>
          <w:p>
            <w:r>
              <w:rPr>
                <w:rFonts w:ascii="Calibri" w:hAnsi="Calibri"/>
                <w:sz w:val="22"/>
              </w:rPr>
              <w:t>+32.5% YoY</w:t>
            </w:r>
          </w:p>
        </w:tc>
        <w:tc>
          <w:tcPr>
            <w:tcW w:type="dxa" w:w="1234"/>
          </w:tcPr>
          <w:p>
            <w:r>
              <w:rPr>
                <w:rFonts w:ascii="Calibri" w:hAnsi="Calibri"/>
                <w:sz w:val="22"/>
              </w:rPr>
              <w:t>Not provided</w:t>
            </w:r>
          </w:p>
        </w:tc>
        <w:tc>
          <w:tcPr>
            <w:tcW w:type="dxa" w:w="1234"/>
          </w:tcPr>
          <w:p>
            <w:r>
              <w:rPr>
                <w:rFonts w:ascii="Calibri" w:hAnsi="Calibri"/>
                <w:sz w:val="22"/>
              </w:rPr>
              <w:t>N/A</w:t>
            </w:r>
          </w:p>
        </w:tc>
      </w:tr>
      <w:tr>
        <w:tc>
          <w:tcPr>
            <w:tcW w:type="dxa" w:w="1234"/>
          </w:tcPr>
          <w:p>
            <w:r>
              <w:rPr>
                <w:rFonts w:ascii="Calibri" w:hAnsi="Calibri"/>
                <w:sz w:val="22"/>
              </w:rPr>
              <w:t>Adjusted EBITDA ($M)</w:t>
            </w:r>
          </w:p>
        </w:tc>
        <w:tc>
          <w:tcPr>
            <w:tcW w:type="dxa" w:w="1234"/>
          </w:tcPr>
          <w:p>
            <w:r>
              <w:rPr>
                <w:rFonts w:ascii="Calibri" w:hAnsi="Calibri"/>
                <w:sz w:val="22"/>
              </w:rPr>
              <w:t>$754M</w:t>
            </w:r>
          </w:p>
        </w:tc>
        <w:tc>
          <w:tcPr>
            <w:tcW w:type="dxa" w:w="1234"/>
          </w:tcPr>
          <w:p>
            <w:r>
              <w:rPr>
                <w:rFonts w:ascii="Calibri" w:hAnsi="Calibri"/>
                <w:sz w:val="22"/>
              </w:rPr>
              <w:t>$655M</w:t>
            </w:r>
          </w:p>
        </w:tc>
        <w:tc>
          <w:tcPr>
            <w:tcW w:type="dxa" w:w="1234"/>
          </w:tcPr>
          <w:p>
            <w:r>
              <w:rPr>
                <w:rFonts w:ascii="Calibri" w:hAnsi="Calibri"/>
                <w:sz w:val="22"/>
              </w:rPr>
              <w:t>$843M</w:t>
            </w:r>
          </w:p>
        </w:tc>
        <w:tc>
          <w:tcPr>
            <w:tcW w:type="dxa" w:w="1234"/>
          </w:tcPr>
          <w:p>
            <w:r>
              <w:rPr>
                <w:rFonts w:ascii="Calibri" w:hAnsi="Calibri"/>
                <w:sz w:val="22"/>
              </w:rPr>
              <w:t>+28.7% YoY</w:t>
            </w:r>
          </w:p>
        </w:tc>
        <w:tc>
          <w:tcPr>
            <w:tcW w:type="dxa" w:w="1234"/>
          </w:tcPr>
          <w:p>
            <w:r>
              <w:rPr>
                <w:rFonts w:ascii="Calibri" w:hAnsi="Calibri"/>
                <w:sz w:val="22"/>
              </w:rPr>
              <w:t>$770M – $870M</w:t>
            </w:r>
          </w:p>
        </w:tc>
        <w:tc>
          <w:tcPr>
            <w:tcW w:type="dxa" w:w="1234"/>
          </w:tcPr>
          <w:p>
            <w:r>
              <w:rPr>
                <w:rFonts w:ascii="Calibri" w:hAnsi="Calibri"/>
                <w:sz w:val="22"/>
              </w:rPr>
              <w:t>+2.8% above midpoint</w:t>
            </w:r>
          </w:p>
        </w:tc>
      </w:tr>
      <w:tr>
        <w:tc>
          <w:tcPr>
            <w:tcW w:type="dxa" w:w="1234"/>
          </w:tcPr>
          <w:p>
            <w:r>
              <w:rPr>
                <w:rFonts w:ascii="Calibri" w:hAnsi="Calibri"/>
                <w:sz w:val="22"/>
              </w:rPr>
              <w:t>EPS – Diluted Operating ($)</w:t>
            </w:r>
          </w:p>
        </w:tc>
        <w:tc>
          <w:tcPr>
            <w:tcW w:type="dxa" w:w="1234"/>
          </w:tcPr>
          <w:p>
            <w:r>
              <w:rPr>
                <w:rFonts w:ascii="Calibri" w:hAnsi="Calibri"/>
                <w:sz w:val="22"/>
              </w:rPr>
              <w:t>$1.17</w:t>
            </w:r>
          </w:p>
        </w:tc>
        <w:tc>
          <w:tcPr>
            <w:tcW w:type="dxa" w:w="1234"/>
          </w:tcPr>
          <w:p>
            <w:r>
              <w:rPr>
                <w:rFonts w:ascii="Calibri" w:hAnsi="Calibri"/>
                <w:sz w:val="22"/>
              </w:rPr>
              <w:t>$1.41</w:t>
            </w:r>
          </w:p>
        </w:tc>
        <w:tc>
          <w:tcPr>
            <w:tcW w:type="dxa" w:w="1234"/>
          </w:tcPr>
          <w:p>
            <w:r>
              <w:rPr>
                <w:rFonts w:ascii="Calibri" w:hAnsi="Calibri"/>
                <w:sz w:val="22"/>
              </w:rPr>
              <w:t>$1.34</w:t>
            </w:r>
          </w:p>
        </w:tc>
        <w:tc>
          <w:tcPr>
            <w:tcW w:type="dxa" w:w="1234"/>
          </w:tcPr>
          <w:p>
            <w:r>
              <w:rPr>
                <w:rFonts w:ascii="Calibri" w:hAnsi="Calibri"/>
                <w:sz w:val="22"/>
              </w:rPr>
              <w:t>-4.8% YoY</w:t>
            </w:r>
          </w:p>
        </w:tc>
        <w:tc>
          <w:tcPr>
            <w:tcW w:type="dxa" w:w="1234"/>
          </w:tcPr>
          <w:p>
            <w:r>
              <w:rPr>
                <w:rFonts w:ascii="Calibri" w:hAnsi="Calibri"/>
                <w:sz w:val="22"/>
              </w:rPr>
              <w:t>Not provided</w:t>
            </w:r>
          </w:p>
        </w:tc>
        <w:tc>
          <w:tcPr>
            <w:tcW w:type="dxa" w:w="1234"/>
          </w:tcPr>
          <w:p>
            <w:r>
              <w:rPr>
                <w:rFonts w:ascii="Calibri" w:hAnsi="Calibri"/>
                <w:sz w:val="22"/>
              </w:rPr>
              <w:t>N/A</w:t>
            </w:r>
          </w:p>
        </w:tc>
      </w:tr>
      <w:tr>
        <w:tc>
          <w:tcPr>
            <w:tcW w:type="dxa" w:w="1234"/>
          </w:tcPr>
          <w:p>
            <w:r>
              <w:rPr>
                <w:rFonts w:ascii="Calibri" w:hAnsi="Calibri"/>
                <w:sz w:val="22"/>
              </w:rPr>
              <w:t>Monthly Active Customers (M)</w:t>
            </w:r>
          </w:p>
        </w:tc>
        <w:tc>
          <w:tcPr>
            <w:tcW w:type="dxa" w:w="1234"/>
          </w:tcPr>
          <w:p>
            <w:r>
              <w:rPr>
                <w:rFonts w:ascii="Calibri" w:hAnsi="Calibri"/>
                <w:sz w:val="22"/>
              </w:rPr>
              <w:t>52.9M</w:t>
            </w:r>
          </w:p>
        </w:tc>
        <w:tc>
          <w:tcPr>
            <w:tcW w:type="dxa" w:w="1234"/>
          </w:tcPr>
          <w:p>
            <w:r>
              <w:rPr>
                <w:rFonts w:ascii="Calibri" w:hAnsi="Calibri"/>
                <w:sz w:val="22"/>
              </w:rPr>
              <w:t>45.0M</w:t>
            </w:r>
          </w:p>
        </w:tc>
        <w:tc>
          <w:tcPr>
            <w:tcW w:type="dxa" w:w="1234"/>
          </w:tcPr>
          <w:p>
            <w:r>
              <w:rPr>
                <w:rFonts w:ascii="Calibri" w:hAnsi="Calibri"/>
                <w:sz w:val="22"/>
              </w:rPr>
              <w:t>54.7M</w:t>
            </w:r>
          </w:p>
        </w:tc>
        <w:tc>
          <w:tcPr>
            <w:tcW w:type="dxa" w:w="1234"/>
          </w:tcPr>
          <w:p>
            <w:r>
              <w:rPr>
                <w:rFonts w:ascii="Calibri" w:hAnsi="Calibri"/>
                <w:sz w:val="22"/>
              </w:rPr>
              <w:t>+21.6% YoY</w:t>
            </w:r>
          </w:p>
        </w:tc>
        <w:tc>
          <w:tcPr>
            <w:tcW w:type="dxa" w:w="1234"/>
          </w:tcPr>
          <w:p>
            <w:r>
              <w:rPr>
                <w:rFonts w:ascii="Calibri" w:hAnsi="Calibri"/>
                <w:sz w:val="22"/>
              </w:rPr>
              <w:t>Not provided</w:t>
            </w:r>
          </w:p>
        </w:tc>
        <w:tc>
          <w:tcPr>
            <w:tcW w:type="dxa" w:w="1234"/>
          </w:tcPr>
          <w:p>
            <w:r>
              <w:rPr>
                <w:rFonts w:ascii="Calibri" w:hAnsi="Calibri"/>
                <w:sz w:val="22"/>
              </w:rPr>
              <w:t>N/A</w:t>
            </w:r>
          </w:p>
        </w:tc>
      </w:tr>
      <w:tr>
        <w:tc>
          <w:tcPr>
            <w:tcW w:type="dxa" w:w="1234"/>
          </w:tcPr>
          <w:p>
            <w:r>
              <w:rPr>
                <w:rFonts w:ascii="Calibri" w:hAnsi="Calibri"/>
                <w:sz w:val="22"/>
              </w:rPr>
              <w:t>Total Orders (M)</w:t>
            </w:r>
          </w:p>
        </w:tc>
        <w:tc>
          <w:tcPr>
            <w:tcW w:type="dxa" w:w="1234"/>
          </w:tcPr>
          <w:p>
            <w:r>
              <w:rPr>
                <w:rFonts w:ascii="Calibri" w:hAnsi="Calibri"/>
                <w:sz w:val="22"/>
              </w:rPr>
              <w:t>933M</w:t>
            </w:r>
          </w:p>
        </w:tc>
        <w:tc>
          <w:tcPr>
            <w:tcW w:type="dxa" w:w="1234"/>
          </w:tcPr>
          <w:p>
            <w:r>
              <w:rPr>
                <w:rFonts w:ascii="Calibri" w:hAnsi="Calibri"/>
                <w:sz w:val="22"/>
              </w:rPr>
              <w:t>761M</w:t>
            </w:r>
          </w:p>
        </w:tc>
        <w:tc>
          <w:tcPr>
            <w:tcW w:type="dxa" w:w="1234"/>
          </w:tcPr>
          <w:p>
            <w:r>
              <w:rPr>
                <w:rFonts w:ascii="Calibri" w:hAnsi="Calibri"/>
                <w:sz w:val="22"/>
              </w:rPr>
              <w:t>968M</w:t>
            </w:r>
          </w:p>
        </w:tc>
        <w:tc>
          <w:tcPr>
            <w:tcW w:type="dxa" w:w="1234"/>
          </w:tcPr>
          <w:p>
            <w:r>
              <w:rPr>
                <w:rFonts w:ascii="Calibri" w:hAnsi="Calibri"/>
                <w:sz w:val="22"/>
              </w:rPr>
              <w:t>+27.2% YoY</w:t>
            </w:r>
          </w:p>
        </w:tc>
        <w:tc>
          <w:tcPr>
            <w:tcW w:type="dxa" w:w="1234"/>
          </w:tcPr>
          <w:p>
            <w:r>
              <w:rPr>
                <w:rFonts w:ascii="Calibri" w:hAnsi="Calibri"/>
                <w:sz w:val="22"/>
              </w:rPr>
              <w:t>Not provided</w:t>
            </w:r>
          </w:p>
        </w:tc>
        <w:tc>
          <w:tcPr>
            <w:tcW w:type="dxa" w:w="1234"/>
          </w:tcPr>
          <w:p>
            <w:r>
              <w:rPr>
                <w:rFonts w:ascii="Calibri" w:hAnsi="Calibri"/>
                <w:sz w:val="22"/>
              </w:rPr>
              <w:t>N/A</w:t>
            </w:r>
          </w:p>
        </w:tc>
      </w:tr>
    </w:tbl>
    <w:p>
      <w:r>
        <w:rPr>
          <w:rFonts w:ascii="Calibri" w:hAnsi="Calibri"/>
          <w:i/>
          <w:color w:val="525866"/>
          <w:sz w:val="22"/>
        </w:rPr>
        <w:t>Source: Visible Alpha Consensus and Actuals Data; DoorDash Q1 2026 Earnings Release (May 6, 2026). All consensus figures as of August 4, 2026.</w:t>
      </w:r>
    </w:p>
    <w:p>
      <w:pPr>
        <w:pStyle w:val="Heading3"/>
      </w:pPr>
      <w:r>
        <w:rPr>
          <w:rFonts w:ascii="Calibri" w:hAnsi="Calibri"/>
          <w:b/>
          <w:color w:val="3B4259"/>
          <w:sz w:val="24"/>
        </w:rPr>
        <w:t>Table 2 — Beat/Miss History: Last 8 Quarters (Top 2 KPIs: Marketplace GOV &amp; Adjusted EBITDA)</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 Est.</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Marketplace GOV</w:t>
            </w:r>
          </w:p>
        </w:tc>
        <w:tc>
          <w:tcPr>
            <w:tcW w:type="dxa" w:w="1440"/>
          </w:tcPr>
          <w:p>
            <w:r>
              <w:rPr>
                <w:rFonts w:ascii="Calibri" w:hAnsi="Calibri"/>
                <w:sz w:val="22"/>
              </w:rPr>
              <w:t>$31.6B</w:t>
            </w:r>
          </w:p>
        </w:tc>
        <w:tc>
          <w:tcPr>
            <w:tcW w:type="dxa" w:w="1440"/>
          </w:tcPr>
          <w:p>
            <w:r>
              <w:rPr>
                <w:rFonts w:ascii="Calibri" w:hAnsi="Calibri"/>
                <w:sz w:val="22"/>
              </w:rPr>
              <w:t>$31.4B</w:t>
            </w:r>
          </w:p>
        </w:tc>
        <w:tc>
          <w:tcPr>
            <w:tcW w:type="dxa" w:w="1440"/>
          </w:tcPr>
          <w:p>
            <w:r>
              <w:rPr>
                <w:rFonts w:ascii="Calibri" w:hAnsi="Calibri"/>
                <w:sz w:val="22"/>
              </w:rPr>
              <w:t>+0.5%</w:t>
            </w:r>
          </w:p>
        </w:tc>
        <w:tc>
          <w:tcPr>
            <w:tcW w:type="dxa" w:w="1440"/>
          </w:tcPr>
          <w:p>
            <w:r>
              <w:rPr>
                <w:rFonts w:ascii="Calibri" w:hAnsi="Calibri"/>
                <w:b/>
                <w:color w:val="30A46C"/>
                <w:sz w:val="22"/>
              </w:rPr>
              <w:t>BEAT</w:t>
            </w:r>
          </w:p>
        </w:tc>
      </w:tr>
      <w:tr>
        <w:tc>
          <w:tcPr>
            <w:tcW w:type="dxa" w:w="1440"/>
          </w:tcPr>
          <w:p>
            <w:r>
              <w:rPr>
                <w:rFonts w:ascii="Calibri" w:hAnsi="Calibri"/>
                <w:sz w:val="22"/>
              </w:rPr>
              <w:t>Q1 2026</w:t>
            </w:r>
          </w:p>
        </w:tc>
        <w:tc>
          <w:tcPr>
            <w:tcW w:type="dxa" w:w="1440"/>
          </w:tcPr>
          <w:p>
            <w:r>
              <w:rPr>
                <w:rFonts w:ascii="Calibri" w:hAnsi="Calibri"/>
                <w:sz w:val="22"/>
              </w:rPr>
              <w:t>Adj. EBITDA</w:t>
            </w:r>
          </w:p>
        </w:tc>
        <w:tc>
          <w:tcPr>
            <w:tcW w:type="dxa" w:w="1440"/>
          </w:tcPr>
          <w:p>
            <w:r>
              <w:rPr>
                <w:rFonts w:ascii="Calibri" w:hAnsi="Calibri"/>
                <w:sz w:val="22"/>
              </w:rPr>
              <w:t>$754M</w:t>
            </w:r>
          </w:p>
        </w:tc>
        <w:tc>
          <w:tcPr>
            <w:tcW w:type="dxa" w:w="1440"/>
          </w:tcPr>
          <w:p>
            <w:r>
              <w:rPr>
                <w:rFonts w:ascii="Calibri" w:hAnsi="Calibri"/>
                <w:sz w:val="22"/>
              </w:rPr>
              <w:t>$744M</w:t>
            </w:r>
          </w:p>
        </w:tc>
        <w:tc>
          <w:tcPr>
            <w:tcW w:type="dxa" w:w="1440"/>
          </w:tcPr>
          <w:p>
            <w:r>
              <w:rPr>
                <w:rFonts w:ascii="Calibri" w:hAnsi="Calibri"/>
                <w:sz w:val="22"/>
              </w:rPr>
              <w:t>+1.3%</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Marketplace GOV</w:t>
            </w:r>
          </w:p>
        </w:tc>
        <w:tc>
          <w:tcPr>
            <w:tcW w:type="dxa" w:w="1440"/>
          </w:tcPr>
          <w:p>
            <w:r>
              <w:rPr>
                <w:rFonts w:ascii="Calibri" w:hAnsi="Calibri"/>
                <w:sz w:val="22"/>
              </w:rPr>
              <w:t>$29.7B</w:t>
            </w:r>
          </w:p>
        </w:tc>
        <w:tc>
          <w:tcPr>
            <w:tcW w:type="dxa" w:w="1440"/>
          </w:tcPr>
          <w:p>
            <w:r>
              <w:rPr>
                <w:rFonts w:ascii="Calibri" w:hAnsi="Calibri"/>
                <w:sz w:val="22"/>
              </w:rPr>
              <w:t>$29.3B</w:t>
            </w:r>
          </w:p>
        </w:tc>
        <w:tc>
          <w:tcPr>
            <w:tcW w:type="dxa" w:w="1440"/>
          </w:tcPr>
          <w:p>
            <w:r>
              <w:rPr>
                <w:rFonts w:ascii="Calibri" w:hAnsi="Calibri"/>
                <w:sz w:val="22"/>
              </w:rPr>
              <w:t>+1.3%</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Adj. EBITDA</w:t>
            </w:r>
          </w:p>
        </w:tc>
        <w:tc>
          <w:tcPr>
            <w:tcW w:type="dxa" w:w="1440"/>
          </w:tcPr>
          <w:p>
            <w:r>
              <w:rPr>
                <w:rFonts w:ascii="Calibri" w:hAnsi="Calibri"/>
                <w:sz w:val="22"/>
              </w:rPr>
              <w:t>$780M</w:t>
            </w:r>
          </w:p>
        </w:tc>
        <w:tc>
          <w:tcPr>
            <w:tcW w:type="dxa" w:w="1440"/>
          </w:tcPr>
          <w:p>
            <w:r>
              <w:rPr>
                <w:rFonts w:ascii="Calibri" w:hAnsi="Calibri"/>
                <w:sz w:val="22"/>
              </w:rPr>
              <w:t>$773M</w:t>
            </w:r>
          </w:p>
        </w:tc>
        <w:tc>
          <w:tcPr>
            <w:tcW w:type="dxa" w:w="1440"/>
          </w:tcPr>
          <w:p>
            <w:r>
              <w:rPr>
                <w:rFonts w:ascii="Calibri" w:hAnsi="Calibri"/>
                <w:sz w:val="22"/>
              </w:rPr>
              <w:t>+0.9%</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Marketplace GOV</w:t>
            </w:r>
          </w:p>
        </w:tc>
        <w:tc>
          <w:tcPr>
            <w:tcW w:type="dxa" w:w="1440"/>
          </w:tcPr>
          <w:p>
            <w:r>
              <w:rPr>
                <w:rFonts w:ascii="Calibri" w:hAnsi="Calibri"/>
                <w:sz w:val="22"/>
              </w:rPr>
              <w:t>$25.0B</w:t>
            </w:r>
          </w:p>
        </w:tc>
        <w:tc>
          <w:tcPr>
            <w:tcW w:type="dxa" w:w="1440"/>
          </w:tcPr>
          <w:p>
            <w:r>
              <w:rPr>
                <w:rFonts w:ascii="Calibri" w:hAnsi="Calibri"/>
                <w:sz w:val="22"/>
              </w:rPr>
              <w:t>$24.6B</w:t>
            </w:r>
          </w:p>
        </w:tc>
        <w:tc>
          <w:tcPr>
            <w:tcW w:type="dxa" w:w="1440"/>
          </w:tcPr>
          <w:p>
            <w:r>
              <w:rPr>
                <w:rFonts w:ascii="Calibri" w:hAnsi="Calibri"/>
                <w:sz w:val="22"/>
              </w:rPr>
              <w:t>+1.8%</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Adj. EBITDA</w:t>
            </w:r>
          </w:p>
        </w:tc>
        <w:tc>
          <w:tcPr>
            <w:tcW w:type="dxa" w:w="1440"/>
          </w:tcPr>
          <w:p>
            <w:r>
              <w:rPr>
                <w:rFonts w:ascii="Calibri" w:hAnsi="Calibri"/>
                <w:sz w:val="22"/>
              </w:rPr>
              <w:t>$754M</w:t>
            </w:r>
          </w:p>
        </w:tc>
        <w:tc>
          <w:tcPr>
            <w:tcW w:type="dxa" w:w="1440"/>
          </w:tcPr>
          <w:p>
            <w:r>
              <w:rPr>
                <w:rFonts w:ascii="Calibri" w:hAnsi="Calibri"/>
                <w:sz w:val="22"/>
              </w:rPr>
              <w:t>$748M</w:t>
            </w:r>
          </w:p>
        </w:tc>
        <w:tc>
          <w:tcPr>
            <w:tcW w:type="dxa" w:w="1440"/>
          </w:tcPr>
          <w:p>
            <w:r>
              <w:rPr>
                <w:rFonts w:ascii="Calibri" w:hAnsi="Calibri"/>
                <w:sz w:val="22"/>
              </w:rPr>
              <w:t>+0.9%</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Marketplace GOV</w:t>
            </w:r>
          </w:p>
        </w:tc>
        <w:tc>
          <w:tcPr>
            <w:tcW w:type="dxa" w:w="1440"/>
          </w:tcPr>
          <w:p>
            <w:r>
              <w:rPr>
                <w:rFonts w:ascii="Calibri" w:hAnsi="Calibri"/>
                <w:sz w:val="22"/>
              </w:rPr>
              <w:t>$24.2B</w:t>
            </w:r>
          </w:p>
        </w:tc>
        <w:tc>
          <w:tcPr>
            <w:tcW w:type="dxa" w:w="1440"/>
          </w:tcPr>
          <w:p>
            <w:r>
              <w:rPr>
                <w:rFonts w:ascii="Calibri" w:hAnsi="Calibri"/>
                <w:sz w:val="22"/>
              </w:rPr>
              <w:t>$23.6B</w:t>
            </w:r>
          </w:p>
        </w:tc>
        <w:tc>
          <w:tcPr>
            <w:tcW w:type="dxa" w:w="1440"/>
          </w:tcPr>
          <w:p>
            <w:r>
              <w:rPr>
                <w:rFonts w:ascii="Calibri" w:hAnsi="Calibri"/>
                <w:sz w:val="22"/>
              </w:rPr>
              <w:t>+2.7%</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Adj. EBITDA</w:t>
            </w:r>
          </w:p>
        </w:tc>
        <w:tc>
          <w:tcPr>
            <w:tcW w:type="dxa" w:w="1440"/>
          </w:tcPr>
          <w:p>
            <w:r>
              <w:rPr>
                <w:rFonts w:ascii="Calibri" w:hAnsi="Calibri"/>
                <w:sz w:val="22"/>
              </w:rPr>
              <w:t>$655M</w:t>
            </w:r>
          </w:p>
        </w:tc>
        <w:tc>
          <w:tcPr>
            <w:tcW w:type="dxa" w:w="1440"/>
          </w:tcPr>
          <w:p>
            <w:r>
              <w:rPr>
                <w:rFonts w:ascii="Calibri" w:hAnsi="Calibri"/>
                <w:sz w:val="22"/>
              </w:rPr>
              <w:t>$637M</w:t>
            </w:r>
          </w:p>
        </w:tc>
        <w:tc>
          <w:tcPr>
            <w:tcW w:type="dxa" w:w="1440"/>
          </w:tcPr>
          <w:p>
            <w:r>
              <w:rPr>
                <w:rFonts w:ascii="Calibri" w:hAnsi="Calibri"/>
                <w:sz w:val="22"/>
              </w:rPr>
              <w:t>+2.8%</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Marketplace GOV</w:t>
            </w:r>
          </w:p>
        </w:tc>
        <w:tc>
          <w:tcPr>
            <w:tcW w:type="dxa" w:w="1440"/>
          </w:tcPr>
          <w:p>
            <w:r>
              <w:rPr>
                <w:rFonts w:ascii="Calibri" w:hAnsi="Calibri"/>
                <w:sz w:val="22"/>
              </w:rPr>
              <w:t>$23.1B</w:t>
            </w:r>
          </w:p>
        </w:tc>
        <w:tc>
          <w:tcPr>
            <w:tcW w:type="dxa" w:w="1440"/>
          </w:tcPr>
          <w:p>
            <w:r>
              <w:rPr>
                <w:rFonts w:ascii="Calibri" w:hAnsi="Calibri"/>
                <w:sz w:val="22"/>
              </w:rPr>
              <w:t>$22.9B</w:t>
            </w:r>
          </w:p>
        </w:tc>
        <w:tc>
          <w:tcPr>
            <w:tcW w:type="dxa" w:w="1440"/>
          </w:tcPr>
          <w:p>
            <w:r>
              <w:rPr>
                <w:rFonts w:ascii="Calibri" w:hAnsi="Calibri"/>
                <w:sz w:val="22"/>
              </w:rPr>
              <w:t>+0.9%</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Adj. EBITDA</w:t>
            </w:r>
          </w:p>
        </w:tc>
        <w:tc>
          <w:tcPr>
            <w:tcW w:type="dxa" w:w="1440"/>
          </w:tcPr>
          <w:p>
            <w:r>
              <w:rPr>
                <w:rFonts w:ascii="Calibri" w:hAnsi="Calibri"/>
                <w:sz w:val="22"/>
              </w:rPr>
              <w:t>$590M</w:t>
            </w:r>
          </w:p>
        </w:tc>
        <w:tc>
          <w:tcPr>
            <w:tcW w:type="dxa" w:w="1440"/>
          </w:tcPr>
          <w:p>
            <w:r>
              <w:rPr>
                <w:rFonts w:ascii="Calibri" w:hAnsi="Calibri"/>
                <w:sz w:val="22"/>
              </w:rPr>
              <w:t>$586M</w:t>
            </w:r>
          </w:p>
        </w:tc>
        <w:tc>
          <w:tcPr>
            <w:tcW w:type="dxa" w:w="1440"/>
          </w:tcPr>
          <w:p>
            <w:r>
              <w:rPr>
                <w:rFonts w:ascii="Calibri" w:hAnsi="Calibri"/>
                <w:sz w:val="22"/>
              </w:rPr>
              <w:t>+0.6%</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Marketplace GOV</w:t>
            </w:r>
          </w:p>
        </w:tc>
        <w:tc>
          <w:tcPr>
            <w:tcW w:type="dxa" w:w="1440"/>
          </w:tcPr>
          <w:p>
            <w:r>
              <w:rPr>
                <w:rFonts w:ascii="Calibri" w:hAnsi="Calibri"/>
                <w:sz w:val="22"/>
              </w:rPr>
              <w:t>$21.3B</w:t>
            </w:r>
          </w:p>
        </w:tc>
        <w:tc>
          <w:tcPr>
            <w:tcW w:type="dxa" w:w="1440"/>
          </w:tcPr>
          <w:p>
            <w:r>
              <w:rPr>
                <w:rFonts w:ascii="Calibri" w:hAnsi="Calibri"/>
                <w:sz w:val="22"/>
              </w:rPr>
              <w:t>$20.9B</w:t>
            </w:r>
          </w:p>
        </w:tc>
        <w:tc>
          <w:tcPr>
            <w:tcW w:type="dxa" w:w="1440"/>
          </w:tcPr>
          <w:p>
            <w:r>
              <w:rPr>
                <w:rFonts w:ascii="Calibri" w:hAnsi="Calibri"/>
                <w:sz w:val="22"/>
              </w:rPr>
              <w:t>+1.9%</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Adj. EBITDA</w:t>
            </w:r>
          </w:p>
        </w:tc>
        <w:tc>
          <w:tcPr>
            <w:tcW w:type="dxa" w:w="1440"/>
          </w:tcPr>
          <w:p>
            <w:r>
              <w:rPr>
                <w:rFonts w:ascii="Calibri" w:hAnsi="Calibri"/>
                <w:sz w:val="22"/>
              </w:rPr>
              <w:t>$566M</w:t>
            </w:r>
          </w:p>
        </w:tc>
        <w:tc>
          <w:tcPr>
            <w:tcW w:type="dxa" w:w="1440"/>
          </w:tcPr>
          <w:p>
            <w:r>
              <w:rPr>
                <w:rFonts w:ascii="Calibri" w:hAnsi="Calibri"/>
                <w:sz w:val="22"/>
              </w:rPr>
              <w:t>$564M</w:t>
            </w:r>
          </w:p>
        </w:tc>
        <w:tc>
          <w:tcPr>
            <w:tcW w:type="dxa" w:w="1440"/>
          </w:tcPr>
          <w:p>
            <w:r>
              <w:rPr>
                <w:rFonts w:ascii="Calibri" w:hAnsi="Calibri"/>
                <w:sz w:val="22"/>
              </w:rPr>
              <w:t>+0.4%</w:t>
            </w:r>
          </w:p>
        </w:tc>
        <w:tc>
          <w:tcPr>
            <w:tcW w:type="dxa" w:w="1440"/>
          </w:tcPr>
          <w:p>
            <w:r>
              <w:rPr>
                <w:rFonts w:ascii="Calibri" w:hAnsi="Calibri"/>
                <w:b/>
                <w:color w:val="30A46C"/>
                <w:sz w:val="22"/>
              </w:rPr>
              <w:t>BEAT</w:t>
            </w:r>
          </w:p>
        </w:tc>
      </w:tr>
      <w:tr>
        <w:tc>
          <w:tcPr>
            <w:tcW w:type="dxa" w:w="1440"/>
          </w:tcPr>
          <w:p>
            <w:r>
              <w:rPr>
                <w:rFonts w:ascii="Calibri" w:hAnsi="Calibri"/>
                <w:sz w:val="22"/>
              </w:rPr>
              <w:t>Q3 2024</w:t>
            </w:r>
          </w:p>
        </w:tc>
        <w:tc>
          <w:tcPr>
            <w:tcW w:type="dxa" w:w="1440"/>
          </w:tcPr>
          <w:p>
            <w:r>
              <w:rPr>
                <w:rFonts w:ascii="Calibri" w:hAnsi="Calibri"/>
                <w:sz w:val="22"/>
              </w:rPr>
              <w:t>Marketplace GOV</w:t>
            </w:r>
          </w:p>
        </w:tc>
        <w:tc>
          <w:tcPr>
            <w:tcW w:type="dxa" w:w="1440"/>
          </w:tcPr>
          <w:p>
            <w:r>
              <w:rPr>
                <w:rFonts w:ascii="Calibri" w:hAnsi="Calibri"/>
                <w:sz w:val="22"/>
              </w:rPr>
              <w:t>$20.0B</w:t>
            </w:r>
          </w:p>
        </w:tc>
        <w:tc>
          <w:tcPr>
            <w:tcW w:type="dxa" w:w="1440"/>
          </w:tcPr>
          <w:p>
            <w:r>
              <w:rPr>
                <w:rFonts w:ascii="Calibri" w:hAnsi="Calibri"/>
                <w:sz w:val="22"/>
              </w:rPr>
              <w:t>$19.8B</w:t>
            </w:r>
          </w:p>
        </w:tc>
        <w:tc>
          <w:tcPr>
            <w:tcW w:type="dxa" w:w="1440"/>
          </w:tcPr>
          <w:p>
            <w:r>
              <w:rPr>
                <w:rFonts w:ascii="Calibri" w:hAnsi="Calibri"/>
                <w:sz w:val="22"/>
              </w:rPr>
              <w:t>+1.1%</w:t>
            </w:r>
          </w:p>
        </w:tc>
        <w:tc>
          <w:tcPr>
            <w:tcW w:type="dxa" w:w="1440"/>
          </w:tcPr>
          <w:p>
            <w:r>
              <w:rPr>
                <w:rFonts w:ascii="Calibri" w:hAnsi="Calibri"/>
                <w:b/>
                <w:color w:val="30A46C"/>
                <w:sz w:val="22"/>
              </w:rPr>
              <w:t>BEAT</w:t>
            </w:r>
          </w:p>
        </w:tc>
      </w:tr>
      <w:tr>
        <w:tc>
          <w:tcPr>
            <w:tcW w:type="dxa" w:w="1440"/>
          </w:tcPr>
          <w:p>
            <w:r>
              <w:rPr>
                <w:rFonts w:ascii="Calibri" w:hAnsi="Calibri"/>
                <w:sz w:val="22"/>
              </w:rPr>
              <w:t>Q3 2024</w:t>
            </w:r>
          </w:p>
        </w:tc>
        <w:tc>
          <w:tcPr>
            <w:tcW w:type="dxa" w:w="1440"/>
          </w:tcPr>
          <w:p>
            <w:r>
              <w:rPr>
                <w:rFonts w:ascii="Calibri" w:hAnsi="Calibri"/>
                <w:sz w:val="22"/>
              </w:rPr>
              <w:t>Adj. EBITDA</w:t>
            </w:r>
          </w:p>
        </w:tc>
        <w:tc>
          <w:tcPr>
            <w:tcW w:type="dxa" w:w="1440"/>
          </w:tcPr>
          <w:p>
            <w:r>
              <w:rPr>
                <w:rFonts w:ascii="Calibri" w:hAnsi="Calibri"/>
                <w:sz w:val="22"/>
              </w:rPr>
              <w:t>$533M</w:t>
            </w:r>
          </w:p>
        </w:tc>
        <w:tc>
          <w:tcPr>
            <w:tcW w:type="dxa" w:w="1440"/>
          </w:tcPr>
          <w:p>
            <w:r>
              <w:rPr>
                <w:rFonts w:ascii="Calibri" w:hAnsi="Calibri"/>
                <w:sz w:val="22"/>
              </w:rPr>
              <w:t>$514M</w:t>
            </w:r>
          </w:p>
        </w:tc>
        <w:tc>
          <w:tcPr>
            <w:tcW w:type="dxa" w:w="1440"/>
          </w:tcPr>
          <w:p>
            <w:r>
              <w:rPr>
                <w:rFonts w:ascii="Calibri" w:hAnsi="Calibri"/>
                <w:sz w:val="22"/>
              </w:rPr>
              <w:t>+3.7%</w:t>
            </w:r>
          </w:p>
        </w:tc>
        <w:tc>
          <w:tcPr>
            <w:tcW w:type="dxa" w:w="1440"/>
          </w:tcPr>
          <w:p>
            <w:r>
              <w:rPr>
                <w:rFonts w:ascii="Calibri" w:hAnsi="Calibri"/>
                <w:b/>
                <w:color w:val="30A46C"/>
                <w:sz w:val="22"/>
              </w:rPr>
              <w:t>BEAT</w:t>
            </w:r>
          </w:p>
        </w:tc>
      </w:tr>
      <w:tr>
        <w:tc>
          <w:tcPr>
            <w:tcW w:type="dxa" w:w="1440"/>
          </w:tcPr>
          <w:p>
            <w:r>
              <w:rPr>
                <w:rFonts w:ascii="Calibri" w:hAnsi="Calibri"/>
                <w:sz w:val="22"/>
              </w:rPr>
              <w:t>Q2 2024</w:t>
            </w:r>
          </w:p>
        </w:tc>
        <w:tc>
          <w:tcPr>
            <w:tcW w:type="dxa" w:w="1440"/>
          </w:tcPr>
          <w:p>
            <w:r>
              <w:rPr>
                <w:rFonts w:ascii="Calibri" w:hAnsi="Calibri"/>
                <w:sz w:val="22"/>
              </w:rPr>
              <w:t>Marketplace GOV</w:t>
            </w:r>
          </w:p>
        </w:tc>
        <w:tc>
          <w:tcPr>
            <w:tcW w:type="dxa" w:w="1440"/>
          </w:tcPr>
          <w:p>
            <w:r>
              <w:rPr>
                <w:rFonts w:ascii="Calibri" w:hAnsi="Calibri"/>
                <w:sz w:val="22"/>
              </w:rPr>
              <w:t>$19.7B</w:t>
            </w:r>
          </w:p>
        </w:tc>
        <w:tc>
          <w:tcPr>
            <w:tcW w:type="dxa" w:w="1440"/>
          </w:tcPr>
          <w:p>
            <w:r>
              <w:rPr>
                <w:rFonts w:ascii="Calibri" w:hAnsi="Calibri"/>
                <w:sz w:val="22"/>
              </w:rPr>
              <w:t>$19.4B</w:t>
            </w:r>
          </w:p>
        </w:tc>
        <w:tc>
          <w:tcPr>
            <w:tcW w:type="dxa" w:w="1440"/>
          </w:tcPr>
          <w:p>
            <w:r>
              <w:rPr>
                <w:rFonts w:ascii="Calibri" w:hAnsi="Calibri"/>
                <w:sz w:val="22"/>
              </w:rPr>
              <w:t>+1.7%</w:t>
            </w:r>
          </w:p>
        </w:tc>
        <w:tc>
          <w:tcPr>
            <w:tcW w:type="dxa" w:w="1440"/>
          </w:tcPr>
          <w:p>
            <w:r>
              <w:rPr>
                <w:rFonts w:ascii="Calibri" w:hAnsi="Calibri"/>
                <w:b/>
                <w:color w:val="30A46C"/>
                <w:sz w:val="22"/>
              </w:rPr>
              <w:t>BEAT</w:t>
            </w:r>
          </w:p>
        </w:tc>
      </w:tr>
      <w:tr>
        <w:tc>
          <w:tcPr>
            <w:tcW w:type="dxa" w:w="1440"/>
          </w:tcPr>
          <w:p>
            <w:r>
              <w:rPr>
                <w:rFonts w:ascii="Calibri" w:hAnsi="Calibri"/>
                <w:sz w:val="22"/>
              </w:rPr>
              <w:t>Q2 2024</w:t>
            </w:r>
          </w:p>
        </w:tc>
        <w:tc>
          <w:tcPr>
            <w:tcW w:type="dxa" w:w="1440"/>
          </w:tcPr>
          <w:p>
            <w:r>
              <w:rPr>
                <w:rFonts w:ascii="Calibri" w:hAnsi="Calibri"/>
                <w:sz w:val="22"/>
              </w:rPr>
              <w:t>Adj. EBITDA</w:t>
            </w:r>
          </w:p>
        </w:tc>
        <w:tc>
          <w:tcPr>
            <w:tcW w:type="dxa" w:w="1440"/>
          </w:tcPr>
          <w:p>
            <w:r>
              <w:rPr>
                <w:rFonts w:ascii="Calibri" w:hAnsi="Calibri"/>
                <w:sz w:val="22"/>
              </w:rPr>
              <w:t>$430M</w:t>
            </w:r>
          </w:p>
        </w:tc>
        <w:tc>
          <w:tcPr>
            <w:tcW w:type="dxa" w:w="1440"/>
          </w:tcPr>
          <w:p>
            <w:r>
              <w:rPr>
                <w:rFonts w:ascii="Calibri" w:hAnsi="Calibri"/>
                <w:sz w:val="22"/>
              </w:rPr>
              <w:t>$395M</w:t>
            </w:r>
          </w:p>
        </w:tc>
        <w:tc>
          <w:tcPr>
            <w:tcW w:type="dxa" w:w="1440"/>
          </w:tcPr>
          <w:p>
            <w:r>
              <w:rPr>
                <w:rFonts w:ascii="Calibri" w:hAnsi="Calibri"/>
                <w:sz w:val="22"/>
              </w:rPr>
              <w:t>+8.9%</w:t>
            </w:r>
          </w:p>
        </w:tc>
        <w:tc>
          <w:tcPr>
            <w:tcW w:type="dxa" w:w="1440"/>
          </w:tcPr>
          <w:p>
            <w:r>
              <w:rPr>
                <w:rFonts w:ascii="Calibri" w:hAnsi="Calibri"/>
                <w:b/>
                <w:color w:val="30A46C"/>
                <w:sz w:val="22"/>
              </w:rPr>
              <w:t>BEAT</w:t>
            </w:r>
          </w:p>
        </w:tc>
      </w:tr>
    </w:tbl>
    <w:p>
      <w:r>
        <w:rPr>
          <w:rFonts w:ascii="Calibri" w:hAnsi="Calibri"/>
          <w:i/>
          <w:color w:val="525866"/>
          <w:sz w:val="22"/>
        </w:rPr>
        <w:t>Source: Visible Alpha Consensus and Actuals Data.</w:t>
      </w:r>
    </w:p>
    <w:p>
      <w:r>
        <w:rPr>
          <w:rFonts w:ascii="Calibri" w:hAnsi="Calibri"/>
          <w:b/>
          <w:color w:val="525866"/>
          <w:sz w:val="22"/>
        </w:rPr>
        <w:t xml:space="preserve">Pattern: </w:t>
      </w:r>
      <w:r>
        <w:rPr>
          <w:rFonts w:ascii="Calibri" w:hAnsi="Calibri"/>
          <w:color w:val="525866"/>
          <w:sz w:val="22"/>
        </w:rPr>
        <w:t>DASH has beaten consensus on both Marketplace GOV and Adjusted EBITDA in each of the last 8 reported quarters, with EBITDA surprises ranging from +0.4% to +8.9% — a consistent track record that sets a high bar for the Street's expectations but also validates management's conservative guidance posture.</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Guidance has been </w:t>
      </w:r>
      <w:r>
        <w:rPr>
          <w:rFonts w:ascii="Calibri" w:hAnsi="Calibri"/>
          <w:b/>
          <w:color w:val="525866"/>
          <w:sz w:val="22"/>
        </w:rPr>
        <w:t>unchanged since the Q1 2026 earnings call</w:t>
      </w:r>
      <w:r>
        <w:rPr>
          <w:rFonts w:ascii="Calibri" w:hAnsi="Calibri"/>
          <w:color w:val="525866"/>
          <w:sz w:val="22"/>
        </w:rPr>
        <w:t xml:space="preserve"> — management reaffirmed full-year EBITDA margin trajectory and Deliveroo contribution at every opportunity. The only notable post-earnings development is the extension of the Dasher gas relief program into Q2 with a gross cost of "over $50M," which management committed to offset via investment pushouts, leaving the full-year EBITDA outlook intact.</w:t>
      </w:r>
    </w:p>
    <w:p>
      <w:pPr>
        <w:pStyle w:val="Heading3"/>
      </w:pPr>
      <w:r>
        <w:rPr>
          <w:rFonts w:ascii="Calibri" w:hAnsi="Calibri"/>
          <w:b/>
          <w:color w:val="3B4259"/>
          <w:sz w:val="24"/>
        </w:rPr>
        <w:t>Table 3 — Guidance &amp; Commentary Evolution</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May 6,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Marketplace GOV</w:t>
            </w:r>
          </w:p>
        </w:tc>
        <w:tc>
          <w:tcPr>
            <w:tcW w:type="dxa" w:w="1728"/>
          </w:tcPr>
          <w:p>
            <w:r>
              <w:rPr>
                <w:rFonts w:ascii="Calibri" w:hAnsi="Calibri"/>
                <w:sz w:val="22"/>
              </w:rPr>
              <w:t>$32.4B – $33.4B</w:t>
            </w:r>
          </w:p>
        </w:tc>
        <w:tc>
          <w:tcPr>
            <w:tcW w:type="dxa" w:w="1728"/>
          </w:tcPr>
          <w:p>
            <w:r>
              <w:rPr>
                <w:rFonts w:ascii="Calibri" w:hAnsi="Calibri"/>
                <w:sz w:val="22"/>
              </w:rPr>
              <w:t>—</w:t>
            </w:r>
          </w:p>
        </w:tc>
        <w:tc>
          <w:tcPr>
            <w:tcW w:type="dxa" w:w="1728"/>
          </w:tcPr>
          <w:p>
            <w:r>
              <w:rPr>
                <w:rFonts w:ascii="Calibri" w:hAnsi="Calibri"/>
                <w:sz w:val="22"/>
              </w:rPr>
              <w:t>$32.9B</w:t>
            </w:r>
          </w:p>
        </w:tc>
        <w:tc>
          <w:tcPr>
            <w:tcW w:type="dxa" w:w="1728"/>
          </w:tcPr>
          <w:p>
            <w:r>
              <w:rPr>
                <w:rFonts w:ascii="Calibri" w:hAnsi="Calibri"/>
                <w:sz w:val="22"/>
              </w:rPr>
              <w:t>Unchanged; consensus at midpoint. Management noted Q2 "off to a good start" and demand "continues to be quite strong."</w:t>
            </w:r>
          </w:p>
        </w:tc>
      </w:tr>
      <w:tr>
        <w:tc>
          <w:tcPr>
            <w:tcW w:type="dxa" w:w="1728"/>
          </w:tcPr>
          <w:p>
            <w:r>
              <w:rPr>
                <w:rFonts w:ascii="Calibri" w:hAnsi="Calibri"/>
                <w:sz w:val="22"/>
              </w:rPr>
              <w:t>Q2 2026 Adjusted EBITDA</w:t>
            </w:r>
          </w:p>
        </w:tc>
        <w:tc>
          <w:tcPr>
            <w:tcW w:type="dxa" w:w="1728"/>
          </w:tcPr>
          <w:p>
            <w:r>
              <w:rPr>
                <w:rFonts w:ascii="Calibri" w:hAnsi="Calibri"/>
                <w:sz w:val="22"/>
              </w:rPr>
              <w:t>$770M – $870M</w:t>
            </w:r>
          </w:p>
        </w:tc>
        <w:tc>
          <w:tcPr>
            <w:tcW w:type="dxa" w:w="1728"/>
          </w:tcPr>
          <w:p>
            <w:r>
              <w:rPr>
                <w:rFonts w:ascii="Calibri" w:hAnsi="Calibri"/>
                <w:sz w:val="22"/>
              </w:rPr>
              <w:t>—</w:t>
            </w:r>
          </w:p>
        </w:tc>
        <w:tc>
          <w:tcPr>
            <w:tcW w:type="dxa" w:w="1728"/>
          </w:tcPr>
          <w:p>
            <w:r>
              <w:rPr>
                <w:rFonts w:ascii="Calibri" w:hAnsi="Calibri"/>
                <w:sz w:val="22"/>
              </w:rPr>
              <w:t>$843M</w:t>
            </w:r>
          </w:p>
        </w:tc>
        <w:tc>
          <w:tcPr>
            <w:tcW w:type="dxa" w:w="1728"/>
          </w:tcPr>
          <w:p>
            <w:r>
              <w:rPr>
                <w:rFonts w:ascii="Calibri" w:hAnsi="Calibri"/>
                <w:sz w:val="22"/>
              </w:rPr>
              <w:t>Unchanged. Gas relief program gross cost "over $50M" in Q2, to be funded "at least partially by adjusting investment in other areas."</w:t>
            </w:r>
          </w:p>
        </w:tc>
      </w:tr>
      <w:tr>
        <w:tc>
          <w:tcPr>
            <w:tcW w:type="dxa" w:w="1728"/>
          </w:tcPr>
          <w:p>
            <w:r>
              <w:rPr>
                <w:rFonts w:ascii="Calibri" w:hAnsi="Calibri"/>
                <w:sz w:val="22"/>
              </w:rPr>
              <w:t>FY2026 Adj. EBITDA Margin</w:t>
            </w:r>
          </w:p>
        </w:tc>
        <w:tc>
          <w:tcPr>
            <w:tcW w:type="dxa" w:w="1728"/>
          </w:tcPr>
          <w:p>
            <w:r>
              <w:rPr>
                <w:rFonts w:ascii="Calibri" w:hAnsi="Calibri"/>
                <w:sz w:val="22"/>
              </w:rPr>
              <w:t>Slightly above FY2025 (ex-Deliveroo)</w:t>
            </w:r>
          </w:p>
        </w:tc>
        <w:tc>
          <w:tcPr>
            <w:tcW w:type="dxa" w:w="1728"/>
          </w:tcPr>
          <w:p>
            <w:r>
              <w:rPr>
                <w:rFonts w:ascii="Calibri" w:hAnsi="Calibri"/>
                <w:sz w:val="22"/>
              </w:rPr>
              <w:t>—</w:t>
            </w:r>
          </w:p>
        </w:tc>
        <w:tc>
          <w:tcPr>
            <w:tcW w:type="dxa" w:w="1728"/>
          </w:tcPr>
          <w:p>
            <w:r>
              <w:rPr>
                <w:rFonts w:ascii="Calibri" w:hAnsi="Calibri"/>
                <w:sz w:val="22"/>
              </w:rPr>
              <w:t>Tracking to guidance</w:t>
            </w:r>
          </w:p>
        </w:tc>
        <w:tc>
          <w:tcPr>
            <w:tcW w:type="dxa" w:w="1728"/>
          </w:tcPr>
          <w:p>
            <w:r>
              <w:rPr>
                <w:rFonts w:ascii="Calibri" w:hAnsi="Calibri"/>
                <w:sz w:val="22"/>
              </w:rPr>
              <w:t>Reaffirmed multiple times post-Q1. "My broader view on EBITDA for the full year has not changed."</w:t>
            </w:r>
          </w:p>
        </w:tc>
      </w:tr>
      <w:tr>
        <w:tc>
          <w:tcPr>
            <w:tcW w:type="dxa" w:w="1728"/>
          </w:tcPr>
          <w:p>
            <w:r>
              <w:rPr>
                <w:rFonts w:ascii="Calibri" w:hAnsi="Calibri"/>
                <w:sz w:val="22"/>
              </w:rPr>
              <w:t>FY2026 Deliveroo EBITDA Contribution</w:t>
            </w:r>
          </w:p>
        </w:tc>
        <w:tc>
          <w:tcPr>
            <w:tcW w:type="dxa" w:w="1728"/>
          </w:tcPr>
          <w:p>
            <w:r>
              <w:rPr>
                <w:rFonts w:ascii="Calibri" w:hAnsi="Calibri"/>
                <w:sz w:val="22"/>
              </w:rPr>
              <w:t>~$200M</w:t>
            </w:r>
          </w:p>
        </w:tc>
        <w:tc>
          <w:tcPr>
            <w:tcW w:type="dxa" w:w="1728"/>
          </w:tcPr>
          <w:p>
            <w:r>
              <w:rPr>
                <w:rFonts w:ascii="Calibri" w:hAnsi="Calibri"/>
                <w:sz w:val="22"/>
              </w:rPr>
              <w:t>—</w:t>
            </w:r>
          </w:p>
        </w:tc>
        <w:tc>
          <w:tcPr>
            <w:tcW w:type="dxa" w:w="1728"/>
          </w:tcPr>
          <w:p>
            <w:r>
              <w:rPr>
                <w:rFonts w:ascii="Calibri" w:hAnsi="Calibri"/>
                <w:sz w:val="22"/>
              </w:rPr>
              <w:t>~$200M</w:t>
            </w:r>
          </w:p>
        </w:tc>
        <w:tc>
          <w:tcPr>
            <w:tcW w:type="dxa" w:w="1728"/>
          </w:tcPr>
          <w:p>
            <w:r>
              <w:rPr>
                <w:rFonts w:ascii="Calibri" w:hAnsi="Calibri"/>
                <w:sz w:val="22"/>
              </w:rPr>
              <w:t>Unchanged. "We continue to expect Deliveroo to contribute approximately $200 million to our Adjusted EBITDA in 2026."</w:t>
            </w:r>
          </w:p>
        </w:tc>
      </w:tr>
      <w:tr>
        <w:tc>
          <w:tcPr>
            <w:tcW w:type="dxa" w:w="1728"/>
          </w:tcPr>
          <w:p>
            <w:r>
              <w:rPr>
                <w:rFonts w:ascii="Calibri" w:hAnsi="Calibri"/>
                <w:sz w:val="22"/>
              </w:rPr>
              <w:t>Dasher Gas Relief Program</w:t>
            </w:r>
          </w:p>
        </w:tc>
        <w:tc>
          <w:tcPr>
            <w:tcW w:type="dxa" w:w="1728"/>
          </w:tcPr>
          <w:p>
            <w:r>
              <w:rPr>
                <w:rFonts w:ascii="Calibri" w:hAnsi="Calibri"/>
                <w:sz w:val="22"/>
              </w:rPr>
              <w:t>~$50M gross cost in Q1; extended to Q2</w:t>
            </w:r>
          </w:p>
        </w:tc>
        <w:tc>
          <w:tcPr>
            <w:tcW w:type="dxa" w:w="1728"/>
          </w:tcPr>
          <w:p>
            <w:r>
              <w:rPr>
                <w:rFonts w:ascii="Calibri" w:hAnsi="Calibri"/>
                <w:sz w:val="22"/>
              </w:rPr>
              <w:t>Q2 gross cost "over $50M"; no decision on Q3 extension</w:t>
            </w:r>
          </w:p>
        </w:tc>
        <w:tc>
          <w:tcPr>
            <w:tcW w:type="dxa" w:w="1728"/>
          </w:tcPr>
          <w:p>
            <w:r>
              <w:rPr>
                <w:rFonts w:ascii="Calibri" w:hAnsi="Calibri"/>
                <w:sz w:val="22"/>
              </w:rPr>
              <w:t>N/A</w:t>
            </w:r>
          </w:p>
        </w:tc>
        <w:tc>
          <w:tcPr>
            <w:tcW w:type="dxa" w:w="1728"/>
          </w:tcPr>
          <w:p>
            <w:r>
              <w:rPr>
                <w:rFonts w:ascii="Calibri" w:hAnsi="Calibri"/>
                <w:sz w:val="22"/>
              </w:rPr>
              <w:t>Key cost headwind; management committed to finding offsets. H2 investments deferred to fund program. No Q3 decision yet.</w:t>
            </w:r>
          </w:p>
        </w:tc>
      </w:tr>
      <w:tr>
        <w:tc>
          <w:tcPr>
            <w:tcW w:type="dxa" w:w="1728"/>
          </w:tcPr>
          <w:p>
            <w:r>
              <w:rPr>
                <w:rFonts w:ascii="Calibri" w:hAnsi="Calibri"/>
                <w:sz w:val="22"/>
              </w:rPr>
              <w:t>New Verticals Gross Profit</w:t>
            </w:r>
          </w:p>
        </w:tc>
        <w:tc>
          <w:tcPr>
            <w:tcW w:type="dxa" w:w="1728"/>
          </w:tcPr>
          <w:p>
            <w:r>
              <w:rPr>
                <w:rFonts w:ascii="Calibri" w:hAnsi="Calibri"/>
                <w:sz w:val="22"/>
              </w:rPr>
              <w:t>Gross profit positive in H2 2026</w:t>
            </w:r>
          </w:p>
        </w:tc>
        <w:tc>
          <w:tcPr>
            <w:tcW w:type="dxa" w:w="1728"/>
          </w:tcPr>
          <w:p>
            <w:r>
              <w:rPr>
                <w:rFonts w:ascii="Calibri" w:hAnsi="Calibri"/>
                <w:sz w:val="22"/>
              </w:rPr>
              <w:t>—</w:t>
            </w:r>
          </w:p>
        </w:tc>
        <w:tc>
          <w:tcPr>
            <w:tcW w:type="dxa" w:w="1728"/>
          </w:tcPr>
          <w:p>
            <w:r>
              <w:rPr>
                <w:rFonts w:ascii="Calibri" w:hAnsi="Calibri"/>
                <w:sz w:val="22"/>
              </w:rPr>
              <w:t>Tracking to target</w:t>
            </w:r>
          </w:p>
        </w:tc>
        <w:tc>
          <w:tcPr>
            <w:tcW w:type="dxa" w:w="1728"/>
          </w:tcPr>
          <w:p>
            <w:r>
              <w:rPr>
                <w:rFonts w:ascii="Calibri" w:hAnsi="Calibri"/>
                <w:sz w:val="22"/>
              </w:rPr>
              <w:t>Unchanged. "Expect the overall new vertical portfolio to be gross profit positive in the second half."</w:t>
            </w:r>
          </w:p>
        </w:tc>
      </w:tr>
    </w:tbl>
    <w:p>
      <w:r>
        <w:rPr>
          <w:rFonts w:ascii="Calibri" w:hAnsi="Calibri"/>
          <w:i/>
          <w:color w:val="525866"/>
          <w:sz w:val="22"/>
        </w:rPr>
        <w:t>Source: DoorDash Q1 2026 Earnings Call Transcript and Earnings Release (May 6, 2026).</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been </w:t>
      </w:r>
      <w:r>
        <w:rPr>
          <w:rFonts w:ascii="Calibri" w:hAnsi="Calibri"/>
          <w:b/>
          <w:color w:val="525866"/>
          <w:sz w:val="22"/>
        </w:rPr>
        <w:t>broadly stable since the Q1 print</w:t>
      </w:r>
      <w:r>
        <w:rPr>
          <w:rFonts w:ascii="Calibri" w:hAnsi="Calibri"/>
          <w:color w:val="525866"/>
          <w:sz w:val="22"/>
        </w:rPr>
        <w:t>, with GOV and EBITDA consensus tracking closely to guidance. The FY2026 EBITDA estimate has drifted only marginally from the post-Q1 baseline, suggesting the Street has largely accepted management's full-year framework. The gap between consensus and guidance midpoint on EBITDA (+2.8%) represents a modest cushion, not a stretched bar.</w:t>
      </w:r>
    </w:p>
    <w:p>
      <w:pPr>
        <w:pStyle w:val="Heading3"/>
      </w:pPr>
      <w:r>
        <w:rPr>
          <w:rFonts w:ascii="Calibri" w:hAnsi="Calibri"/>
          <w:b/>
          <w:color w:val="3B4259"/>
          <w:sz w:val="24"/>
        </w:rPr>
        <w:t>Table 4 — Guidance vs. Estimate Revision Tracker</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&amp; Period</w:t>
            </w:r>
          </w:p>
        </w:tc>
        <w:tc>
          <w:tcPr>
            <w:tcW w:type="dxa" w:w="1080"/>
            <w:shd w:val="clear" w:color="auto" w:fill="3B4259"/>
          </w:tcPr>
          <w:p>
            <w:r>
              <w:rPr>
                <w:rFonts w:ascii="Calibri" w:hAnsi="Calibri"/>
                <w:b/>
                <w:color w:val="FFFFFF"/>
                <w:sz w:val="22"/>
              </w:rPr>
              <w:t>Estimate (5 Days Post Q1 Earnings, ~May 13, 2026)</w:t>
            </w:r>
          </w:p>
        </w:tc>
        <w:tc>
          <w:tcPr>
            <w:tcW w:type="dxa" w:w="1080"/>
            <w:shd w:val="clear" w:color="auto" w:fill="3B4259"/>
          </w:tcPr>
          <w:p>
            <w:r>
              <w:rPr>
                <w:rFonts w:ascii="Calibri" w:hAnsi="Calibri"/>
                <w:b/>
                <w:color w:val="FFFFFF"/>
                <w:sz w:val="22"/>
              </w:rPr>
              <w:t>Current Consensus (Aug 4,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Marketplace GOV — Q2 2026</w:t>
            </w:r>
          </w:p>
        </w:tc>
        <w:tc>
          <w:tcPr>
            <w:tcW w:type="dxa" w:w="1080"/>
          </w:tcPr>
          <w:p>
            <w:r>
              <w:rPr>
                <w:rFonts w:ascii="Calibri" w:hAnsi="Calibri"/>
                <w:sz w:val="22"/>
              </w:rPr>
              <w:t>$32.9B</w:t>
            </w:r>
          </w:p>
        </w:tc>
        <w:tc>
          <w:tcPr>
            <w:tcW w:type="dxa" w:w="1080"/>
          </w:tcPr>
          <w:p>
            <w:r>
              <w:rPr>
                <w:rFonts w:ascii="Calibri" w:hAnsi="Calibri"/>
                <w:sz w:val="22"/>
              </w:rPr>
              <w:t>$32.9B</w:t>
            </w:r>
          </w:p>
        </w:tc>
        <w:tc>
          <w:tcPr>
            <w:tcW w:type="dxa" w:w="1080"/>
          </w:tcPr>
          <w:p>
            <w:r>
              <w:rPr>
                <w:rFonts w:ascii="Calibri" w:hAnsi="Calibri"/>
                <w:sz w:val="22"/>
              </w:rPr>
              <w:t>+0.1%</w:t>
            </w:r>
          </w:p>
        </w:tc>
        <w:tc>
          <w:tcPr>
            <w:tcW w:type="dxa" w:w="1080"/>
          </w:tcPr>
          <w:p>
            <w:r>
              <w:rPr>
                <w:rFonts w:ascii="Calibri" w:hAnsi="Calibri"/>
                <w:sz w:val="22"/>
              </w:rPr>
              <w:t>$32.4B – $33.4B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0.0% (at midpoint)</w:t>
            </w:r>
          </w:p>
        </w:tc>
      </w:tr>
      <w:tr>
        <w:tc>
          <w:tcPr>
            <w:tcW w:type="dxa" w:w="1080"/>
          </w:tcPr>
          <w:p>
            <w:r>
              <w:rPr>
                <w:rFonts w:ascii="Calibri" w:hAnsi="Calibri"/>
                <w:sz w:val="22"/>
              </w:rPr>
              <w:t>Adj. EBITDA — Q2 2026</w:t>
            </w:r>
          </w:p>
        </w:tc>
        <w:tc>
          <w:tcPr>
            <w:tcW w:type="dxa" w:w="1080"/>
          </w:tcPr>
          <w:p>
            <w:r>
              <w:rPr>
                <w:rFonts w:ascii="Calibri" w:hAnsi="Calibri"/>
                <w:sz w:val="22"/>
              </w:rPr>
              <w:t>$841M</w:t>
            </w:r>
          </w:p>
        </w:tc>
        <w:tc>
          <w:tcPr>
            <w:tcW w:type="dxa" w:w="1080"/>
          </w:tcPr>
          <w:p>
            <w:r>
              <w:rPr>
                <w:rFonts w:ascii="Calibri" w:hAnsi="Calibri"/>
                <w:sz w:val="22"/>
              </w:rPr>
              <w:t>$843M</w:t>
            </w:r>
          </w:p>
        </w:tc>
        <w:tc>
          <w:tcPr>
            <w:tcW w:type="dxa" w:w="1080"/>
          </w:tcPr>
          <w:p>
            <w:r>
              <w:rPr>
                <w:rFonts w:ascii="Calibri" w:hAnsi="Calibri"/>
                <w:sz w:val="22"/>
              </w:rPr>
              <w:t>+0.3%</w:t>
            </w:r>
          </w:p>
        </w:tc>
        <w:tc>
          <w:tcPr>
            <w:tcW w:type="dxa" w:w="1080"/>
          </w:tcPr>
          <w:p>
            <w:r>
              <w:rPr>
                <w:rFonts w:ascii="Calibri" w:hAnsi="Calibri"/>
                <w:sz w:val="22"/>
              </w:rPr>
              <w:t>$770M – $870M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+2.8% above midpoint</w:t>
            </w:r>
          </w:p>
        </w:tc>
      </w:tr>
      <w:tr>
        <w:tc>
          <w:tcPr>
            <w:tcW w:type="dxa" w:w="1080"/>
          </w:tcPr>
          <w:p>
            <w:r>
              <w:rPr>
                <w:rFonts w:ascii="Calibri" w:hAnsi="Calibri"/>
                <w:sz w:val="22"/>
              </w:rPr>
              <w:t>Revenue — Q2 2026</w:t>
            </w:r>
          </w:p>
        </w:tc>
        <w:tc>
          <w:tcPr>
            <w:tcW w:type="dxa" w:w="1080"/>
          </w:tcPr>
          <w:p>
            <w:r>
              <w:rPr>
                <w:rFonts w:ascii="Calibri" w:hAnsi="Calibri"/>
                <w:sz w:val="22"/>
              </w:rPr>
              <w:t>$4.34B</w:t>
            </w:r>
          </w:p>
        </w:tc>
        <w:tc>
          <w:tcPr>
            <w:tcW w:type="dxa" w:w="1080"/>
          </w:tcPr>
          <w:p>
            <w:r>
              <w:rPr>
                <w:rFonts w:ascii="Calibri" w:hAnsi="Calibri"/>
                <w:sz w:val="22"/>
              </w:rPr>
              <w:t>$4.35B</w:t>
            </w:r>
          </w:p>
        </w:tc>
        <w:tc>
          <w:tcPr>
            <w:tcW w:type="dxa" w:w="1080"/>
          </w:tcPr>
          <w:p>
            <w:r>
              <w:rPr>
                <w:rFonts w:ascii="Calibri" w:hAnsi="Calibri"/>
                <w:sz w:val="22"/>
              </w:rPr>
              <w:t>+0.1%</w:t>
            </w:r>
          </w:p>
        </w:tc>
        <w:tc>
          <w:tcPr>
            <w:tcW w:type="dxa" w:w="1080"/>
          </w:tcPr>
          <w:p>
            <w:r>
              <w:rPr>
                <w:rFonts w:ascii="Calibri" w:hAnsi="Calibri"/>
                <w:sz w:val="22"/>
              </w:rPr>
              <w:t>Not provided</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Marketplace GOV — FY2026</w:t>
            </w:r>
          </w:p>
        </w:tc>
        <w:tc>
          <w:tcPr>
            <w:tcW w:type="dxa" w:w="1080"/>
          </w:tcPr>
          <w:p>
            <w:r>
              <w:rPr>
                <w:rFonts w:ascii="Calibri" w:hAnsi="Calibri"/>
                <w:sz w:val="22"/>
              </w:rPr>
              <w:t>$133.5B</w:t>
            </w:r>
          </w:p>
        </w:tc>
        <w:tc>
          <w:tcPr>
            <w:tcW w:type="dxa" w:w="1080"/>
          </w:tcPr>
          <w:p>
            <w:r>
              <w:rPr>
                <w:rFonts w:ascii="Calibri" w:hAnsi="Calibri"/>
                <w:sz w:val="22"/>
              </w:rPr>
              <w:t>$133.6B</w:t>
            </w:r>
          </w:p>
        </w:tc>
        <w:tc>
          <w:tcPr>
            <w:tcW w:type="dxa" w:w="1080"/>
          </w:tcPr>
          <w:p>
            <w:r>
              <w:rPr>
                <w:rFonts w:ascii="Calibri" w:hAnsi="Calibri"/>
                <w:sz w:val="22"/>
              </w:rPr>
              <w:t>+0.1%</w:t>
            </w:r>
          </w:p>
        </w:tc>
        <w:tc>
          <w:tcPr>
            <w:tcW w:type="dxa" w:w="1080"/>
          </w:tcPr>
          <w:p>
            <w:r>
              <w:rPr>
                <w:rFonts w:ascii="Calibri" w:hAnsi="Calibri"/>
                <w:sz w:val="22"/>
              </w:rPr>
              <w:t>Slightly above FY2025 margin (ex-Deliveroo)</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Tracking to guidance</w:t>
            </w:r>
          </w:p>
        </w:tc>
      </w:tr>
      <w:tr>
        <w:tc>
          <w:tcPr>
            <w:tcW w:type="dxa" w:w="1080"/>
          </w:tcPr>
          <w:p>
            <w:r>
              <w:rPr>
                <w:rFonts w:ascii="Calibri" w:hAnsi="Calibri"/>
                <w:sz w:val="22"/>
              </w:rPr>
              <w:t>Adj. EBITDA — FY2026</w:t>
            </w:r>
          </w:p>
        </w:tc>
        <w:tc>
          <w:tcPr>
            <w:tcW w:type="dxa" w:w="1080"/>
          </w:tcPr>
          <w:p>
            <w:r>
              <w:rPr>
                <w:rFonts w:ascii="Calibri" w:hAnsi="Calibri"/>
                <w:sz w:val="22"/>
              </w:rPr>
              <w:t>$3,629M</w:t>
            </w:r>
          </w:p>
        </w:tc>
        <w:tc>
          <w:tcPr>
            <w:tcW w:type="dxa" w:w="1080"/>
          </w:tcPr>
          <w:p>
            <w:r>
              <w:rPr>
                <w:rFonts w:ascii="Calibri" w:hAnsi="Calibri"/>
                <w:sz w:val="22"/>
              </w:rPr>
              <w:t>$3,616M</w:t>
            </w:r>
          </w:p>
        </w:tc>
        <w:tc>
          <w:tcPr>
            <w:tcW w:type="dxa" w:w="1080"/>
          </w:tcPr>
          <w:p>
            <w:r>
              <w:rPr>
                <w:rFonts w:ascii="Calibri" w:hAnsi="Calibri"/>
                <w:sz w:val="22"/>
              </w:rPr>
              <w:t>-0.4%</w:t>
            </w:r>
          </w:p>
        </w:tc>
        <w:tc>
          <w:tcPr>
            <w:tcW w:type="dxa" w:w="1080"/>
          </w:tcPr>
          <w:p>
            <w:r>
              <w:rPr>
                <w:rFonts w:ascii="Calibri" w:hAnsi="Calibri"/>
                <w:sz w:val="22"/>
              </w:rPr>
              <w:t>Slightly above FY2025 margin (ex-Deliveroo) + ~$200M Deliveroo</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Tracking to guidance</w:t>
            </w:r>
          </w:p>
        </w:tc>
      </w:tr>
      <w:tr>
        <w:tc>
          <w:tcPr>
            <w:tcW w:type="dxa" w:w="1080"/>
          </w:tcPr>
          <w:p>
            <w:r>
              <w:rPr>
                <w:rFonts w:ascii="Calibri" w:hAnsi="Calibri"/>
                <w:sz w:val="22"/>
              </w:rPr>
              <w:t>Revenue — FY2026</w:t>
            </w:r>
          </w:p>
        </w:tc>
        <w:tc>
          <w:tcPr>
            <w:tcW w:type="dxa" w:w="1080"/>
          </w:tcPr>
          <w:p>
            <w:r>
              <w:rPr>
                <w:rFonts w:ascii="Calibri" w:hAnsi="Calibri"/>
                <w:sz w:val="22"/>
              </w:rPr>
              <w:t>$17.62B</w:t>
            </w:r>
          </w:p>
        </w:tc>
        <w:tc>
          <w:tcPr>
            <w:tcW w:type="dxa" w:w="1080"/>
          </w:tcPr>
          <w:p>
            <w:r>
              <w:rPr>
                <w:rFonts w:ascii="Calibri" w:hAnsi="Calibri"/>
                <w:sz w:val="22"/>
              </w:rPr>
              <w:t>$17.62B</w:t>
            </w:r>
          </w:p>
        </w:tc>
        <w:tc>
          <w:tcPr>
            <w:tcW w:type="dxa" w:w="1080"/>
          </w:tcPr>
          <w:p>
            <w:r>
              <w:rPr>
                <w:rFonts w:ascii="Calibri" w:hAnsi="Calibri"/>
                <w:sz w:val="22"/>
              </w:rPr>
              <w:t>0.0%</w:t>
            </w:r>
          </w:p>
        </w:tc>
        <w:tc>
          <w:tcPr>
            <w:tcW w:type="dxa" w:w="1080"/>
          </w:tcPr>
          <w:p>
            <w:r>
              <w:rPr>
                <w:rFonts w:ascii="Calibri" w:hAnsi="Calibri"/>
                <w:sz w:val="22"/>
              </w:rPr>
              <w:t>Not provided</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bl>
    <w:p>
      <w:r>
        <w:rPr>
          <w:rFonts w:ascii="Calibri" w:hAnsi="Calibri"/>
          <w:i/>
          <w:color w:val="525866"/>
          <w:sz w:val="22"/>
        </w:rPr>
        <w:t>Source: Visible Alpha Consensus and Actuals Data; DoorDash Q1 2026 Earnings Release (May 6, 2026). Post-Q1 baseline as of approximately May 13, 2026 (5 trading days post-earnings).</w:t>
      </w:r>
    </w:p>
    <w:p>
      <w:r>
        <w:rPr>
          <w:rFonts w:ascii="Calibri" w:hAnsi="Calibri"/>
          <w:color w:val="525866"/>
          <w:sz w:val="22"/>
        </w:rPr>
        <w:t>Estimates have been remarkably stable since the Q1 print, with virtually no revision in either direction across all key KPIs. This stability reflects the Street's confidence in management's guidance framework and suggests limited risk of a pre-earnings estimate reset. The slight FY2026 EBITDA drift of -0.4% is immaterial and likely reflects minor model adjustments rather than a fundamental reassessment.</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DASH's post-Q1 performance has been driven primarily by </w:t>
      </w:r>
      <w:r>
        <w:rPr>
          <w:rFonts w:ascii="Calibri" w:hAnsi="Calibri"/>
          <w:b/>
          <w:color w:val="525866"/>
          <w:sz w:val="22"/>
        </w:rPr>
        <w:t>multiple re-expansion (+5.7% over 3 months)</w:t>
      </w:r>
      <w:r>
        <w:rPr>
          <w:rFonts w:ascii="Calibri" w:hAnsi="Calibri"/>
          <w:color w:val="525866"/>
          <w:sz w:val="22"/>
        </w:rPr>
        <w:t xml:space="preserve"> rather than estimate revisions, as the stock recovered from its post-Q1 selloff. The stock has significantly outperformed XLY (Consumer Discretionary ETF) since the Q1 print, though it remains down ~18.5% over the trailing 12 months, reflecting the multiple compression from 30x+ to ~19.6x NTM EV/EBITDA.</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DASH vs. XLY vs. S&amp;P 500 — Indexed Performance Since Q1 2026 Earnings (May 6, 2026). Base = 100. Key events: Uber/Delivery Hero deal announced July 16; DoorDash Air drone program announced July 29. Source: Yahoo Finance / Stock Price Data.</w:t>
      </w:r>
    </w:p>
    <w:p>
      <w:r>
        <w:rPr>
          <w:rFonts w:ascii="Calibri" w:hAnsi="Calibri"/>
          <w:color w:val="525866"/>
          <w:sz w:val="22"/>
        </w:rPr>
        <w:t xml:space="preserve">Since the Q1 2026 earnings print on May 6, DASH initially sold off ~11% through mid-May as investors digested the revenue miss and gas relief program cost headwind. The stock then staged a sustained recovery, rallying from ~$149 in mid-May to ~$202 by August 4 (+35% from the trough), driven by multiple re-expansion as the market gained confidence in management's full-year EBITDA framework. DASH significantly outperformed XLY over this period, which was essentially flat, while the S&amp;P 500 was also broadly flat. The </w:t>
      </w:r>
      <w:r>
        <w:rPr>
          <w:rFonts w:ascii="Calibri" w:hAnsi="Calibri"/>
          <w:b/>
          <w:color w:val="525866"/>
          <w:sz w:val="22"/>
        </w:rPr>
        <w:t>Uber/Delivery Hero acquisition announcement on July 16</w:t>
      </w:r>
      <w:r>
        <w:rPr>
          <w:rFonts w:ascii="Calibri" w:hAnsi="Calibri"/>
          <w:color w:val="525866"/>
          <w:sz w:val="22"/>
        </w:rPr>
        <w:t xml:space="preserve"> caused a brief pause in DASH's rally but did not reverse it, suggesting the market views the competitive implications as manageable near-term. The </w:t>
      </w:r>
      <w:r>
        <w:rPr>
          <w:rFonts w:ascii="Calibri" w:hAnsi="Calibri"/>
          <w:b/>
          <w:color w:val="525866"/>
          <w:sz w:val="22"/>
        </w:rPr>
        <w:t>DoorDash Air drone announcement on July 29</w:t>
      </w:r>
      <w:r>
        <w:rPr>
          <w:rFonts w:ascii="Calibri" w:hAnsi="Calibri"/>
          <w:color w:val="525866"/>
          <w:sz w:val="22"/>
        </w:rPr>
        <w:t xml:space="preserve"> provided a modest positive catalyst. Sector ETF used: XLY (Consumer Discretionary Select Sector SPDR), which captures DASH's consumer-facing delivery business.</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w:t>
      </w:r>
      <w:r>
        <w:rPr>
          <w:rFonts w:ascii="Calibri" w:hAnsi="Calibri"/>
          <w:b/>
          <w:color w:val="525866"/>
          <w:sz w:val="22"/>
        </w:rPr>
        <w:t>Uber/Delivery Hero $14.8B acquisition (July 16)</w:t>
      </w:r>
      <w:r>
        <w:rPr>
          <w:rFonts w:ascii="Calibri" w:hAnsi="Calibri"/>
          <w:color w:val="525866"/>
          <w:sz w:val="22"/>
        </w:rPr>
        <w:t xml:space="preserve"> — a transformative competitive event that creates the largest food delivery group outside China and directly challenges DASH's international growth narrative heading into the print.</w:t>
      </w:r>
    </w:p>
    <w:p>
      <w:pPr>
        <w:pStyle w:val="ListBullet"/>
        <w:ind w:left="360" w:hanging="360"/>
      </w:pPr>
      <w:r>
        <w:rPr>
          <w:rFonts w:ascii="Calibri" w:hAnsi="Calibri"/>
          <w:b/>
          <w:color w:val="525866"/>
          <w:sz w:val="22"/>
        </w:rPr>
        <w:t>July 16, 2026 — Uber agrees to acquire Delivery Hero for $14.8B (WSJ, Reuters, CNBC).</w:t>
      </w:r>
      <w:r>
        <w:rPr>
          <w:rFonts w:ascii="Calibri" w:hAnsi="Calibri"/>
          <w:color w:val="525866"/>
          <w:sz w:val="22"/>
        </w:rPr>
        <w:t xml:space="preserve"> Uber's biggest-ever deal creates the largest food delivery group outside China, adding 50 new markets across Asia, Latin America, and the Middle East. Deal expected to close H2 2027 pending regulatory approvals. </w:t>
      </w:r>
    </w:p>
    <w:p>
      <w:pPr>
        <w:pStyle w:val="ListBullet"/>
        <w:ind w:left="360" w:hanging="360"/>
      </w:pPr>
      <w:r>
        <w:rPr>
          <w:rFonts w:ascii="Calibri" w:hAnsi="Calibri"/>
          <w:b/>
          <w:color w:val="525866"/>
          <w:sz w:val="22"/>
        </w:rPr>
        <w:t>Implication for DASH:</w:t>
      </w:r>
      <w:r>
        <w:rPr>
          <w:rFonts w:ascii="Calibri" w:hAnsi="Calibri"/>
          <w:color w:val="525866"/>
          <w:sz w:val="22"/>
        </w:rPr>
        <w:t xml:space="preserve"> Significantly intensifies international competitive pressure. Uber had already paused European expansion (July 5) while pursuing the deal, but post-close will have a dramatically expanded global footprint. Investors may question DASH's international growth premium and Deliveroo's competitive positioning in Europe.</w:t>
      </w:r>
    </w:p>
    <w:p>
      <w:pPr>
        <w:pStyle w:val="ListBullet"/>
        <w:ind w:left="360" w:hanging="360"/>
      </w:pPr>
      <w:r>
        <w:rPr>
          <w:rFonts w:ascii="Calibri" w:hAnsi="Calibri"/>
          <w:b/>
          <w:color w:val="525866"/>
          <w:sz w:val="22"/>
        </w:rPr>
        <w:t>July 29–August 4, 2026 — DoorDash launches DoorDash Air drone delivery program.</w:t>
      </w:r>
      <w:r>
        <w:rPr>
          <w:rFonts w:ascii="Calibri" w:hAnsi="Calibri"/>
          <w:color w:val="525866"/>
          <w:sz w:val="22"/>
        </w:rPr>
        <w:t xml:space="preserve"> DASH received FAA Part 135 air carrier certification, enabling commercial drone delivery. Currently live in parts of Dallas-Fort Worth and Charlotte. Company is building its own drones alongside existing partnerships with Alphabet's Wing and Flytrex. </w:t>
      </w:r>
    </w:p>
    <w:p>
      <w:pPr>
        <w:pStyle w:val="ListBullet"/>
        <w:ind w:left="360" w:hanging="360"/>
      </w:pPr>
      <w:r>
        <w:rPr>
          <w:rFonts w:ascii="Calibri" w:hAnsi="Calibri"/>
          <w:b/>
          <w:color w:val="525866"/>
          <w:sz w:val="22"/>
        </w:rPr>
        <w:t>Implication:</w:t>
      </w:r>
      <w:r>
        <w:rPr>
          <w:rFonts w:ascii="Calibri" w:hAnsi="Calibri"/>
          <w:color w:val="525866"/>
          <w:sz w:val="22"/>
        </w:rPr>
        <w:t xml:space="preserve"> Positive long-term signal on autonomous delivery ambitions; near-term financial impact is minimal. Likely to be a topic on the Q2 call.</w:t>
      </w:r>
    </w:p>
    <w:p>
      <w:pPr>
        <w:pStyle w:val="ListBullet"/>
        <w:ind w:left="360" w:hanging="360"/>
      </w:pPr>
      <w:r>
        <w:rPr>
          <w:rFonts w:ascii="Calibri" w:hAnsi="Calibri"/>
          <w:b/>
          <w:color w:val="525866"/>
          <w:sz w:val="22"/>
        </w:rPr>
        <w:t>July 31, 2026 — U.S. lawmakers request information on DASH's use of Chinese AI models (CNBC).</w:t>
      </w:r>
      <w:r>
        <w:rPr>
          <w:rFonts w:ascii="Calibri" w:hAnsi="Calibri"/>
          <w:color w:val="525866"/>
          <w:sz w:val="22"/>
        </w:rPr>
        <w:t xml:space="preserve"> House Select Committees investigating DASH's use of Moonshot AI's Kimi K2.6 model. DASH responded it "proudly supports American AI leadership" and is working with committees. </w:t>
      </w:r>
    </w:p>
    <w:p>
      <w:pPr>
        <w:pStyle w:val="ListBullet"/>
        <w:ind w:left="360" w:hanging="360"/>
      </w:pPr>
      <w:r>
        <w:rPr>
          <w:rFonts w:ascii="Calibri" w:hAnsi="Calibri"/>
          <w:b/>
          <w:color w:val="525866"/>
          <w:sz w:val="22"/>
        </w:rPr>
        <w:t>Implication:</w:t>
      </w:r>
      <w:r>
        <w:rPr>
          <w:rFonts w:ascii="Calibri" w:hAnsi="Calibri"/>
          <w:color w:val="525866"/>
          <w:sz w:val="22"/>
        </w:rPr>
        <w:t xml:space="preserve"> Regulatory/reputational risk; unlikely to be material to Q2 financials but could be a distraction on the call and create headline risk.</w:t>
      </w:r>
    </w:p>
    <w:p>
      <w:pPr>
        <w:pStyle w:val="ListBullet"/>
        <w:ind w:left="360" w:hanging="360"/>
      </w:pPr>
      <w:r>
        <w:rPr>
          <w:rFonts w:ascii="Calibri" w:hAnsi="Calibri"/>
          <w:b/>
          <w:color w:val="525866"/>
          <w:sz w:val="22"/>
        </w:rPr>
        <w:t>July 5, 2026 — Uber pauses European food delivery expansion while pursuing Delivery Hero deal (FT, Reuters).</w:t>
      </w:r>
      <w:r>
        <w:rPr>
          <w:rFonts w:ascii="Calibri" w:hAnsi="Calibri"/>
          <w:color w:val="525866"/>
          <w:sz w:val="22"/>
        </w:rPr>
        <w:t xml:space="preserve"> Uber halted expansion into five European markets. </w:t>
      </w:r>
    </w:p>
    <w:p>
      <w:pPr>
        <w:pStyle w:val="ListBullet"/>
        <w:ind w:left="360" w:hanging="360"/>
      </w:pPr>
      <w:r>
        <w:rPr>
          <w:rFonts w:ascii="Calibri" w:hAnsi="Calibri"/>
          <w:b/>
          <w:color w:val="525866"/>
          <w:sz w:val="22"/>
        </w:rPr>
        <w:t>Implication:</w:t>
      </w:r>
      <w:r>
        <w:rPr>
          <w:rFonts w:ascii="Calibri" w:hAnsi="Calibri"/>
          <w:color w:val="525866"/>
          <w:sz w:val="22"/>
        </w:rPr>
        <w:t xml:space="preserve"> Short-term competitive relief for DASH/Deliveroo in Europe during Q2, but this pause ends with the deal announcement.</w:t>
      </w:r>
    </w:p>
    <w:p>
      <w:pPr>
        <w:pStyle w:val="ListBullet"/>
        <w:ind w:left="360" w:hanging="360"/>
      </w:pPr>
      <w:r>
        <w:rPr>
          <w:rFonts w:ascii="Calibri" w:hAnsi="Calibri"/>
          <w:b/>
          <w:color w:val="525866"/>
          <w:sz w:val="22"/>
        </w:rPr>
        <w:t>June 11, 2026 — DoorDash shareholders approve directors, auditor, and executive pay at Annual Meeting (8-K).</w:t>
      </w:r>
      <w:r>
        <w:rPr>
          <w:rFonts w:ascii="Calibri" w:hAnsi="Calibri"/>
          <w:color w:val="525866"/>
          <w:sz w:val="22"/>
        </w:rPr>
        <w:t xml:space="preserve"> Routine governance event; no material financial implications.</w:t>
      </w:r>
    </w:p>
    <w:p>
      <w:pPr>
        <w:pStyle w:val="ListBullet"/>
        <w:ind w:left="360" w:hanging="360"/>
      </w:pPr>
      <w:r>
        <w:rPr>
          <w:rFonts w:ascii="Calibri" w:hAnsi="Calibri"/>
          <w:b/>
          <w:color w:val="525866"/>
          <w:sz w:val="22"/>
        </w:rPr>
        <w:t>July 23, 2026 — Uber cuts 10% of customer service jobs citing AI adoption (Bloomberg).</w:t>
      </w:r>
      <w:r>
        <w:rPr>
          <w:rFonts w:ascii="Calibri" w:hAnsi="Calibri"/>
          <w:color w:val="525866"/>
          <w:sz w:val="22"/>
        </w:rPr>
        <w:t xml:space="preserve"> </w:t>
      </w:r>
    </w:p>
    <w:p>
      <w:pPr>
        <w:pStyle w:val="ListBullet"/>
        <w:ind w:left="360" w:hanging="360"/>
      </w:pPr>
      <w:r>
        <w:rPr>
          <w:rFonts w:ascii="Calibri" w:hAnsi="Calibri"/>
          <w:b/>
          <w:color w:val="525866"/>
          <w:sz w:val="22"/>
        </w:rPr>
        <w:t>Implication:</w:t>
      </w:r>
      <w:r>
        <w:rPr>
          <w:rFonts w:ascii="Calibri" w:hAnsi="Calibri"/>
          <w:color w:val="525866"/>
          <w:sz w:val="22"/>
        </w:rPr>
        <w:t xml:space="preserve"> Industry-wide signal that AI-driven cost reduction is accelerating; DASH has noted ~2/3 of its code is now AI-generated, suggesting similar efficiency tailwinds.</w:t>
      </w:r>
    </w:p>
    <w:p>
      <w:r>
        <w:br w:type="page"/>
      </w:r>
    </w:p>
    <w:p>
      <w:pPr>
        <w:pStyle w:val="Heading2"/>
      </w:pPr>
      <w:r>
        <w:rPr>
          <w:rFonts w:ascii="Calibri" w:hAnsi="Calibri"/>
          <w:b/>
          <w:color w:val="3B4259"/>
          <w:sz w:val="28"/>
        </w:rPr>
        <w:t>7. Peer Commentary Read-Through</w:t>
      </w:r>
    </w:p>
    <w:p>
      <w:r>
        <w:rPr>
          <w:rFonts w:ascii="Calibri" w:hAnsi="Calibri"/>
          <w:b/>
          <w:color w:val="525866"/>
          <w:sz w:val="22"/>
        </w:rPr>
        <w:t xml:space="preserve">Key Takeaway: </w:t>
      </w:r>
      <w:r>
        <w:rPr>
          <w:rFonts w:ascii="Calibri" w:hAnsi="Calibri"/>
          <w:color w:val="525866"/>
          <w:sz w:val="22"/>
        </w:rPr>
        <w:t xml:space="preserve">Applying the strict 60-day filter (June 5 – August 4, 2026) and the current-quarter condition (commentary must specifically address Q2 2026 / current-quarter conditions), </w:t>
      </w:r>
      <w:r>
        <w:rPr>
          <w:rFonts w:ascii="Calibri" w:hAnsi="Calibri"/>
          <w:b/>
          <w:color w:val="525866"/>
          <w:sz w:val="22"/>
        </w:rPr>
        <w:t>there are no qualifying peer earnings calls or conference transcripts in the research database.</w:t>
      </w:r>
      <w:r>
        <w:rPr>
          <w:rFonts w:ascii="Calibri" w:hAnsi="Calibri"/>
          <w:color w:val="525866"/>
          <w:sz w:val="22"/>
        </w:rPr>
        <w:t xml:space="preserve"> The May 6–7 peer earnings calls (Uber Q1, Lyft Q1, Instacart Q1) and the June 4 Instacart Baird Conference fall outside the 60-day window or address Q1 2026 results rather than Q2 2026 conditions. The May 28 Uber Bernstein Conference is also outside the 60-day window.</w:t>
      </w:r>
    </w:p>
    <w:p>
      <w:r>
        <w:rPr>
          <w:rFonts w:ascii="Calibri" w:hAnsi="Calibri"/>
          <w:color w:val="525866"/>
          <w:sz w:val="22"/>
        </w:rPr>
        <w:t>The following peer events were reviewed and excluded:</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Peer</w:t>
            </w:r>
          </w:p>
        </w:tc>
        <w:tc>
          <w:tcPr>
            <w:tcW w:type="dxa" w:w="2160"/>
            <w:shd w:val="clear" w:color="auto" w:fill="3B4259"/>
          </w:tcPr>
          <w:p>
            <w:r>
              <w:rPr>
                <w:rFonts w:ascii="Calibri" w:hAnsi="Calibri"/>
                <w:b/>
                <w:color w:val="FFFFFF"/>
                <w:sz w:val="22"/>
              </w:rPr>
              <w:t>Event</w:t>
            </w:r>
          </w:p>
        </w:tc>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Reason Excluded</w:t>
            </w:r>
          </w:p>
        </w:tc>
      </w:tr>
      <w:tr>
        <w:tc>
          <w:tcPr>
            <w:tcW w:type="dxa" w:w="2160"/>
          </w:tcPr>
          <w:p>
            <w:r>
              <w:rPr>
                <w:rFonts w:ascii="Calibri" w:hAnsi="Calibri"/>
                <w:sz w:val="22"/>
              </w:rPr>
              <w:t>Uber (UBER)</w:t>
            </w:r>
          </w:p>
        </w:tc>
        <w:tc>
          <w:tcPr>
            <w:tcW w:type="dxa" w:w="2160"/>
          </w:tcPr>
          <w:p>
            <w:r>
              <w:rPr>
                <w:rFonts w:ascii="Calibri" w:hAnsi="Calibri"/>
                <w:sz w:val="22"/>
              </w:rPr>
              <w:t>Q1 2026 Earnings Call</w:t>
            </w:r>
          </w:p>
        </w:tc>
        <w:tc>
          <w:tcPr>
            <w:tcW w:type="dxa" w:w="2160"/>
          </w:tcPr>
          <w:p>
            <w:r>
              <w:rPr>
                <w:rFonts w:ascii="Calibri" w:hAnsi="Calibri"/>
                <w:sz w:val="22"/>
              </w:rPr>
              <w:t>May 6, 2026</w:t>
            </w:r>
          </w:p>
        </w:tc>
        <w:tc>
          <w:tcPr>
            <w:tcW w:type="dxa" w:w="2160"/>
          </w:tcPr>
          <w:p>
            <w:r>
              <w:rPr>
                <w:rFonts w:ascii="Calibri" w:hAnsi="Calibri"/>
                <w:sz w:val="22"/>
              </w:rPr>
              <w:t>Outside 60-day window; addresses Q1 2026 results, not Q2 2026 conditions</w:t>
            </w:r>
          </w:p>
        </w:tc>
      </w:tr>
      <w:tr>
        <w:tc>
          <w:tcPr>
            <w:tcW w:type="dxa" w:w="2160"/>
          </w:tcPr>
          <w:p>
            <w:r>
              <w:rPr>
                <w:rFonts w:ascii="Calibri" w:hAnsi="Calibri"/>
                <w:sz w:val="22"/>
              </w:rPr>
              <w:t>Lyft (LYFT)</w:t>
            </w:r>
          </w:p>
        </w:tc>
        <w:tc>
          <w:tcPr>
            <w:tcW w:type="dxa" w:w="2160"/>
          </w:tcPr>
          <w:p>
            <w:r>
              <w:rPr>
                <w:rFonts w:ascii="Calibri" w:hAnsi="Calibri"/>
                <w:sz w:val="22"/>
              </w:rPr>
              <w:t>Q1 2026 Earnings Call</w:t>
            </w:r>
          </w:p>
        </w:tc>
        <w:tc>
          <w:tcPr>
            <w:tcW w:type="dxa" w:w="2160"/>
          </w:tcPr>
          <w:p>
            <w:r>
              <w:rPr>
                <w:rFonts w:ascii="Calibri" w:hAnsi="Calibri"/>
                <w:sz w:val="22"/>
              </w:rPr>
              <w:t>May 7, 2026</w:t>
            </w:r>
          </w:p>
        </w:tc>
        <w:tc>
          <w:tcPr>
            <w:tcW w:type="dxa" w:w="2160"/>
          </w:tcPr>
          <w:p>
            <w:r>
              <w:rPr>
                <w:rFonts w:ascii="Calibri" w:hAnsi="Calibri"/>
                <w:sz w:val="22"/>
              </w:rPr>
              <w:t>Outside 60-day window; addresses Q1 2026 results, not Q2 2026 conditions</w:t>
            </w:r>
          </w:p>
        </w:tc>
      </w:tr>
      <w:tr>
        <w:tc>
          <w:tcPr>
            <w:tcW w:type="dxa" w:w="2160"/>
          </w:tcPr>
          <w:p>
            <w:r>
              <w:rPr>
                <w:rFonts w:ascii="Calibri" w:hAnsi="Calibri"/>
                <w:sz w:val="22"/>
              </w:rPr>
              <w:t>Instacart (CART)</w:t>
            </w:r>
          </w:p>
        </w:tc>
        <w:tc>
          <w:tcPr>
            <w:tcW w:type="dxa" w:w="2160"/>
          </w:tcPr>
          <w:p>
            <w:r>
              <w:rPr>
                <w:rFonts w:ascii="Calibri" w:hAnsi="Calibri"/>
                <w:sz w:val="22"/>
              </w:rPr>
              <w:t>Q1 2026 Earnings Call</w:t>
            </w:r>
          </w:p>
        </w:tc>
        <w:tc>
          <w:tcPr>
            <w:tcW w:type="dxa" w:w="2160"/>
          </w:tcPr>
          <w:p>
            <w:r>
              <w:rPr>
                <w:rFonts w:ascii="Calibri" w:hAnsi="Calibri"/>
                <w:sz w:val="22"/>
              </w:rPr>
              <w:t>May 6, 2026</w:t>
            </w:r>
          </w:p>
        </w:tc>
        <w:tc>
          <w:tcPr>
            <w:tcW w:type="dxa" w:w="2160"/>
          </w:tcPr>
          <w:p>
            <w:r>
              <w:rPr>
                <w:rFonts w:ascii="Calibri" w:hAnsi="Calibri"/>
                <w:sz w:val="22"/>
              </w:rPr>
              <w:t>Outside 60-day window; addresses Q1 2026 results, not Q2 2026 conditions</w:t>
            </w:r>
          </w:p>
        </w:tc>
      </w:tr>
      <w:tr>
        <w:tc>
          <w:tcPr>
            <w:tcW w:type="dxa" w:w="2160"/>
          </w:tcPr>
          <w:p>
            <w:r>
              <w:rPr>
                <w:rFonts w:ascii="Calibri" w:hAnsi="Calibri"/>
                <w:sz w:val="22"/>
              </w:rPr>
              <w:t>Uber (UBER)</w:t>
            </w:r>
          </w:p>
        </w:tc>
        <w:tc>
          <w:tcPr>
            <w:tcW w:type="dxa" w:w="2160"/>
          </w:tcPr>
          <w:p>
            <w:r>
              <w:rPr>
                <w:rFonts w:ascii="Calibri" w:hAnsi="Calibri"/>
                <w:sz w:val="22"/>
              </w:rPr>
              <w:t>Bernstein Strategic Decisions Conference</w:t>
            </w:r>
          </w:p>
        </w:tc>
        <w:tc>
          <w:tcPr>
            <w:tcW w:type="dxa" w:w="2160"/>
          </w:tcPr>
          <w:p>
            <w:r>
              <w:rPr>
                <w:rFonts w:ascii="Calibri" w:hAnsi="Calibri"/>
                <w:sz w:val="22"/>
              </w:rPr>
              <w:t>May 28, 2026</w:t>
            </w:r>
          </w:p>
        </w:tc>
        <w:tc>
          <w:tcPr>
            <w:tcW w:type="dxa" w:w="2160"/>
          </w:tcPr>
          <w:p>
            <w:r>
              <w:rPr>
                <w:rFonts w:ascii="Calibri" w:hAnsi="Calibri"/>
                <w:sz w:val="22"/>
              </w:rPr>
              <w:t>Outside 60-day window (before June 5, 2026)</w:t>
            </w:r>
          </w:p>
        </w:tc>
      </w:tr>
      <w:tr>
        <w:tc>
          <w:tcPr>
            <w:tcW w:type="dxa" w:w="2160"/>
          </w:tcPr>
          <w:p>
            <w:r>
              <w:rPr>
                <w:rFonts w:ascii="Calibri" w:hAnsi="Calibri"/>
                <w:sz w:val="22"/>
              </w:rPr>
              <w:t>Instacart (CART)</w:t>
            </w:r>
          </w:p>
        </w:tc>
        <w:tc>
          <w:tcPr>
            <w:tcW w:type="dxa" w:w="2160"/>
          </w:tcPr>
          <w:p>
            <w:r>
              <w:rPr>
                <w:rFonts w:ascii="Calibri" w:hAnsi="Calibri"/>
                <w:sz w:val="22"/>
              </w:rPr>
              <w:t>Baird Global Consumer, Tech &amp; Services Conference</w:t>
            </w:r>
          </w:p>
        </w:tc>
        <w:tc>
          <w:tcPr>
            <w:tcW w:type="dxa" w:w="2160"/>
          </w:tcPr>
          <w:p>
            <w:r>
              <w:rPr>
                <w:rFonts w:ascii="Calibri" w:hAnsi="Calibri"/>
                <w:sz w:val="22"/>
              </w:rPr>
              <w:t>June 4, 2026</w:t>
            </w:r>
          </w:p>
        </w:tc>
        <w:tc>
          <w:tcPr>
            <w:tcW w:type="dxa" w:w="2160"/>
          </w:tcPr>
          <w:p>
            <w:r>
              <w:rPr>
                <w:rFonts w:ascii="Calibri" w:hAnsi="Calibri"/>
                <w:sz w:val="22"/>
              </w:rPr>
              <w:t>Outside 60-day window (before June 5, 2026); addresses Q2 2026 outlook but falls one day before the cutoff</w:t>
            </w:r>
          </w:p>
        </w:tc>
      </w:tr>
    </w:tbl>
    <w:p>
      <w:r>
        <w:rPr>
          <w:rFonts w:ascii="Calibri" w:hAnsi="Calibri"/>
          <w:b/>
          <w:color w:val="525866"/>
          <w:sz w:val="22"/>
        </w:rPr>
        <w:t>Note on Uber/Delivery Hero (July 16, 2026):</w:t>
      </w:r>
      <w:r>
        <w:rPr>
          <w:rFonts w:ascii="Calibri" w:hAnsi="Calibri"/>
          <w:color w:val="525866"/>
          <w:sz w:val="22"/>
        </w:rPr>
        <w:t xml:space="preserve"> While the Uber/Delivery Hero acquisition announcement (July 16) falls within the 60-day window and has direct read-through implications for DASH's competitive positioning, it is a corporate transaction announcement rather than a peer earnings call or conference commentary on current-quarter operating conditions. It is therefore covered in the Material News &amp; Developments section above rather than here.</w:t>
      </w:r>
    </w:p>
    <w:p>
      <w:r>
        <w:rPr>
          <w:rFonts w:ascii="Calibri" w:hAnsi="Calibri"/>
          <w:color w:val="525866"/>
          <w:sz w:val="22"/>
        </w:rPr>
        <w:t>Uber Q2 2026 earnings are scheduled to report after DASH (Uber typically reports in the first week of August). No qualifying peer Q2 2026 earnings commentary was available in the research database as of the preparation date.</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Insider activity since the Q1 print is dominated by </w:t>
      </w:r>
      <w:r>
        <w:rPr>
          <w:rFonts w:ascii="Calibri" w:hAnsi="Calibri"/>
          <w:b/>
          <w:color w:val="525866"/>
          <w:sz w:val="22"/>
        </w:rPr>
        <w:t>routine 10b5-1 planned sales</w:t>
      </w:r>
      <w:r>
        <w:rPr>
          <w:rFonts w:ascii="Calibri" w:hAnsi="Calibri"/>
          <w:color w:val="525866"/>
          <w:sz w:val="22"/>
        </w:rPr>
        <w:t xml:space="preserve"> across multiple executives and directors — no open-market discretionary buys, and no unusual concentration of discretionary selling. The one notable exception is a small open-market purchase by Director Milan Kovac (20 shares each in February and March 2026, filed June 8), which is a modest positive signal but too small to be directionally meaningful. Overall, the insider picture is neutral.</w:t>
      </w:r>
    </w:p>
    <w:p>
      <w:pPr>
        <w:pStyle w:val="Heading3"/>
      </w:pPr>
      <w:r>
        <w:rPr>
          <w:rFonts w:ascii="Calibri" w:hAnsi="Calibri"/>
          <w:b/>
          <w:color w:val="3B4259"/>
          <w:sz w:val="24"/>
        </w:rPr>
        <w:t>Table 5 — Insider Transactions (Since Q1 2026 Earnings, May 6, 2026)</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Transaction 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Inukonda Ravi</w:t>
            </w:r>
          </w:p>
        </w:tc>
        <w:tc>
          <w:tcPr>
            <w:tcW w:type="dxa" w:w="1440"/>
          </w:tcPr>
          <w:p>
            <w:r>
              <w:rPr>
                <w:rFonts w:ascii="Calibri" w:hAnsi="Calibri"/>
                <w:sz w:val="22"/>
              </w:rPr>
              <w:t>CFO</w:t>
            </w:r>
          </w:p>
        </w:tc>
        <w:tc>
          <w:tcPr>
            <w:tcW w:type="dxa" w:w="1440"/>
          </w:tcPr>
          <w:p>
            <w:r>
              <w:rPr>
                <w:rFonts w:ascii="Calibri" w:hAnsi="Calibri"/>
                <w:sz w:val="22"/>
              </w:rPr>
              <w:t>10b5-1 Planned Sale</w:t>
            </w:r>
          </w:p>
        </w:tc>
        <w:tc>
          <w:tcPr>
            <w:tcW w:type="dxa" w:w="1440"/>
          </w:tcPr>
          <w:p>
            <w:r>
              <w:rPr>
                <w:rFonts w:ascii="Calibri" w:hAnsi="Calibri"/>
                <w:sz w:val="22"/>
              </w:rPr>
              <w:t>19,095</w:t>
            </w:r>
          </w:p>
        </w:tc>
        <w:tc>
          <w:tcPr>
            <w:tcW w:type="dxa" w:w="1440"/>
          </w:tcPr>
          <w:p>
            <w:r>
              <w:rPr>
                <w:rFonts w:ascii="Calibri" w:hAnsi="Calibri"/>
                <w:sz w:val="22"/>
              </w:rPr>
              <w:t>Jul 8, 2026</w:t>
            </w:r>
          </w:p>
        </w:tc>
        <w:tc>
          <w:tcPr>
            <w:tcW w:type="dxa" w:w="1440"/>
          </w:tcPr>
          <w:p>
            <w:r>
              <w:rPr>
                <w:rFonts w:ascii="Calibri" w:hAnsi="Calibri"/>
                <w:sz w:val="22"/>
              </w:rPr>
              <w:t>Pre-planned; routine. Also sold 19,505 shares on May 20 under same plan.</w:t>
            </w:r>
          </w:p>
        </w:tc>
      </w:tr>
      <w:tr>
        <w:tc>
          <w:tcPr>
            <w:tcW w:type="dxa" w:w="1440"/>
          </w:tcPr>
          <w:p>
            <w:r>
              <w:rPr>
                <w:rFonts w:ascii="Calibri" w:hAnsi="Calibri"/>
                <w:sz w:val="22"/>
              </w:rPr>
              <w:t>Tang Stanley</w:t>
            </w:r>
          </w:p>
        </w:tc>
        <w:tc>
          <w:tcPr>
            <w:tcW w:type="dxa" w:w="1440"/>
          </w:tcPr>
          <w:p>
            <w:r>
              <w:rPr>
                <w:rFonts w:ascii="Calibri" w:hAnsi="Calibri"/>
                <w:sz w:val="22"/>
              </w:rPr>
              <w:t>Director</w:t>
            </w:r>
          </w:p>
        </w:tc>
        <w:tc>
          <w:tcPr>
            <w:tcW w:type="dxa" w:w="1440"/>
          </w:tcPr>
          <w:p>
            <w:r>
              <w:rPr>
                <w:rFonts w:ascii="Calibri" w:hAnsi="Calibri"/>
                <w:sz w:val="22"/>
              </w:rPr>
              <w:t>10b5-1 Planned Sale</w:t>
            </w:r>
          </w:p>
        </w:tc>
        <w:tc>
          <w:tcPr>
            <w:tcW w:type="dxa" w:w="1440"/>
          </w:tcPr>
          <w:p>
            <w:r>
              <w:rPr>
                <w:rFonts w:ascii="Calibri" w:hAnsi="Calibri"/>
                <w:sz w:val="22"/>
              </w:rPr>
              <w:t>23,125</w:t>
            </w:r>
          </w:p>
        </w:tc>
        <w:tc>
          <w:tcPr>
            <w:tcW w:type="dxa" w:w="1440"/>
          </w:tcPr>
          <w:p>
            <w:r>
              <w:rPr>
                <w:rFonts w:ascii="Calibri" w:hAnsi="Calibri"/>
                <w:sz w:val="22"/>
              </w:rPr>
              <w:t>Jul 2, 2026</w:t>
            </w:r>
          </w:p>
        </w:tc>
        <w:tc>
          <w:tcPr>
            <w:tcW w:type="dxa" w:w="1440"/>
          </w:tcPr>
          <w:p>
            <w:r>
              <w:rPr>
                <w:rFonts w:ascii="Calibri" w:hAnsi="Calibri"/>
                <w:sz w:val="22"/>
              </w:rPr>
              <w:t>Pre-planned; indirect ownership. Recurring pattern (also sold 23,125 on May 4 and 1,592 on May 20).</w:t>
            </w:r>
          </w:p>
        </w:tc>
      </w:tr>
      <w:tr>
        <w:tc>
          <w:tcPr>
            <w:tcW w:type="dxa" w:w="1440"/>
          </w:tcPr>
          <w:p>
            <w:r>
              <w:rPr>
                <w:rFonts w:ascii="Calibri" w:hAnsi="Calibri"/>
                <w:sz w:val="22"/>
              </w:rPr>
              <w:t>Fang Andy</w:t>
            </w:r>
          </w:p>
        </w:tc>
        <w:tc>
          <w:tcPr>
            <w:tcW w:type="dxa" w:w="1440"/>
          </w:tcPr>
          <w:p>
            <w:r>
              <w:rPr>
                <w:rFonts w:ascii="Calibri" w:hAnsi="Calibri"/>
                <w:sz w:val="22"/>
              </w:rPr>
              <w:t>Director</w:t>
            </w:r>
          </w:p>
        </w:tc>
        <w:tc>
          <w:tcPr>
            <w:tcW w:type="dxa" w:w="1440"/>
          </w:tcPr>
          <w:p>
            <w:r>
              <w:rPr>
                <w:rFonts w:ascii="Calibri" w:hAnsi="Calibri"/>
                <w:sz w:val="22"/>
              </w:rPr>
              <w:t>10b5-1 Planned Sale</w:t>
            </w:r>
          </w:p>
        </w:tc>
        <w:tc>
          <w:tcPr>
            <w:tcW w:type="dxa" w:w="1440"/>
          </w:tcPr>
          <w:p>
            <w:r>
              <w:rPr>
                <w:rFonts w:ascii="Calibri" w:hAnsi="Calibri"/>
                <w:sz w:val="22"/>
              </w:rPr>
              <w:t>5,000</w:t>
            </w:r>
          </w:p>
        </w:tc>
        <w:tc>
          <w:tcPr>
            <w:tcW w:type="dxa" w:w="1440"/>
          </w:tcPr>
          <w:p>
            <w:r>
              <w:rPr>
                <w:rFonts w:ascii="Calibri" w:hAnsi="Calibri"/>
                <w:sz w:val="22"/>
              </w:rPr>
              <w:t>Jul 1, 2026</w:t>
            </w:r>
          </w:p>
        </w:tc>
        <w:tc>
          <w:tcPr>
            <w:tcW w:type="dxa" w:w="1440"/>
          </w:tcPr>
          <w:p>
            <w:r>
              <w:rPr>
                <w:rFonts w:ascii="Calibri" w:hAnsi="Calibri"/>
                <w:sz w:val="22"/>
              </w:rPr>
              <w:t>Pre-planned; indirect ownership. Also sold 5,000 on Jun 24 and 1,164 on May 20.</w:t>
            </w:r>
          </w:p>
        </w:tc>
      </w:tr>
      <w:tr>
        <w:tc>
          <w:tcPr>
            <w:tcW w:type="dxa" w:w="1440"/>
          </w:tcPr>
          <w:p>
            <w:r>
              <w:rPr>
                <w:rFonts w:ascii="Calibri" w:hAnsi="Calibri"/>
                <w:sz w:val="22"/>
              </w:rPr>
              <w:t>Brown Shona L</w:t>
            </w:r>
          </w:p>
        </w:tc>
        <w:tc>
          <w:tcPr>
            <w:tcW w:type="dxa" w:w="1440"/>
          </w:tcPr>
          <w:p>
            <w:r>
              <w:rPr>
                <w:rFonts w:ascii="Calibri" w:hAnsi="Calibri"/>
                <w:sz w:val="22"/>
              </w:rPr>
              <w:t>Director</w:t>
            </w:r>
          </w:p>
        </w:tc>
        <w:tc>
          <w:tcPr>
            <w:tcW w:type="dxa" w:w="1440"/>
          </w:tcPr>
          <w:p>
            <w:r>
              <w:rPr>
                <w:rFonts w:ascii="Calibri" w:hAnsi="Calibri"/>
                <w:sz w:val="22"/>
              </w:rPr>
              <w:t>10b5-1 Planned Sale</w:t>
            </w:r>
          </w:p>
        </w:tc>
        <w:tc>
          <w:tcPr>
            <w:tcW w:type="dxa" w:w="1440"/>
          </w:tcPr>
          <w:p>
            <w:r>
              <w:rPr>
                <w:rFonts w:ascii="Calibri" w:hAnsi="Calibri"/>
                <w:sz w:val="22"/>
              </w:rPr>
              <w:t>582</w:t>
            </w:r>
          </w:p>
        </w:tc>
        <w:tc>
          <w:tcPr>
            <w:tcW w:type="dxa" w:w="1440"/>
          </w:tcPr>
          <w:p>
            <w:r>
              <w:rPr>
                <w:rFonts w:ascii="Calibri" w:hAnsi="Calibri"/>
                <w:sz w:val="22"/>
              </w:rPr>
              <w:t>Jun 26, 2026</w:t>
            </w:r>
          </w:p>
        </w:tc>
        <w:tc>
          <w:tcPr>
            <w:tcW w:type="dxa" w:w="1440"/>
          </w:tcPr>
          <w:p>
            <w:r>
              <w:rPr>
                <w:rFonts w:ascii="Calibri" w:hAnsi="Calibri"/>
                <w:sz w:val="22"/>
              </w:rPr>
              <w:t>Pre-planned; small size; routine.</w:t>
            </w:r>
          </w:p>
        </w:tc>
      </w:tr>
      <w:tr>
        <w:tc>
          <w:tcPr>
            <w:tcW w:type="dxa" w:w="1440"/>
          </w:tcPr>
          <w:p>
            <w:r>
              <w:rPr>
                <w:rFonts w:ascii="Calibri" w:hAnsi="Calibri"/>
                <w:sz w:val="22"/>
              </w:rPr>
              <w:t>Still Ashley</w:t>
            </w:r>
          </w:p>
        </w:tc>
        <w:tc>
          <w:tcPr>
            <w:tcW w:type="dxa" w:w="1440"/>
          </w:tcPr>
          <w:p>
            <w:r>
              <w:rPr>
                <w:rFonts w:ascii="Calibri" w:hAnsi="Calibri"/>
                <w:sz w:val="22"/>
              </w:rPr>
              <w:t>Director</w:t>
            </w:r>
          </w:p>
        </w:tc>
        <w:tc>
          <w:tcPr>
            <w:tcW w:type="dxa" w:w="1440"/>
          </w:tcPr>
          <w:p>
            <w:r>
              <w:rPr>
                <w:rFonts w:ascii="Calibri" w:hAnsi="Calibri"/>
                <w:sz w:val="22"/>
              </w:rPr>
              <w:t>Open Market Sale</w:t>
            </w:r>
          </w:p>
        </w:tc>
        <w:tc>
          <w:tcPr>
            <w:tcW w:type="dxa" w:w="1440"/>
          </w:tcPr>
          <w:p>
            <w:r>
              <w:rPr>
                <w:rFonts w:ascii="Calibri" w:hAnsi="Calibri"/>
                <w:sz w:val="22"/>
              </w:rPr>
              <w:t>1,164</w:t>
            </w:r>
          </w:p>
        </w:tc>
        <w:tc>
          <w:tcPr>
            <w:tcW w:type="dxa" w:w="1440"/>
          </w:tcPr>
          <w:p>
            <w:r>
              <w:rPr>
                <w:rFonts w:ascii="Calibri" w:hAnsi="Calibri"/>
                <w:sz w:val="22"/>
              </w:rPr>
              <w:t>Jun 10, 2026</w:t>
            </w:r>
          </w:p>
        </w:tc>
        <w:tc>
          <w:tcPr>
            <w:tcW w:type="dxa" w:w="1440"/>
          </w:tcPr>
          <w:p>
            <w:r>
              <w:rPr>
                <w:rFonts w:ascii="Calibri" w:hAnsi="Calibri"/>
                <w:sz w:val="22"/>
              </w:rPr>
              <w:t>Discretionary (not 10b5-1); indirect ownership; small size; not flagged as unusual.</w:t>
            </w:r>
          </w:p>
        </w:tc>
      </w:tr>
      <w:tr>
        <w:tc>
          <w:tcPr>
            <w:tcW w:type="dxa" w:w="1440"/>
          </w:tcPr>
          <w:p>
            <w:r>
              <w:rPr>
                <w:rFonts w:ascii="Calibri" w:hAnsi="Calibri"/>
                <w:sz w:val="22"/>
              </w:rPr>
              <w:t>Kovac Milan</w:t>
            </w:r>
          </w:p>
        </w:tc>
        <w:tc>
          <w:tcPr>
            <w:tcW w:type="dxa" w:w="1440"/>
          </w:tcPr>
          <w:p>
            <w:r>
              <w:rPr>
                <w:rFonts w:ascii="Calibri" w:hAnsi="Calibri"/>
                <w:sz w:val="22"/>
              </w:rPr>
              <w:t>Director</w:t>
            </w:r>
          </w:p>
        </w:tc>
        <w:tc>
          <w:tcPr>
            <w:tcW w:type="dxa" w:w="1440"/>
          </w:tcPr>
          <w:p>
            <w:r>
              <w:rPr>
                <w:rFonts w:ascii="Calibri" w:hAnsi="Calibri"/>
                <w:sz w:val="22"/>
              </w:rPr>
              <w:t>Open Market Buy</w:t>
            </w:r>
          </w:p>
        </w:tc>
        <w:tc>
          <w:tcPr>
            <w:tcW w:type="dxa" w:w="1440"/>
          </w:tcPr>
          <w:p>
            <w:r>
              <w:rPr>
                <w:rFonts w:ascii="Calibri" w:hAnsi="Calibri"/>
                <w:sz w:val="22"/>
              </w:rPr>
              <w:t>20 + 20</w:t>
            </w:r>
          </w:p>
        </w:tc>
        <w:tc>
          <w:tcPr>
            <w:tcW w:type="dxa" w:w="1440"/>
          </w:tcPr>
          <w:p>
            <w:r>
              <w:rPr>
                <w:rFonts w:ascii="Calibri" w:hAnsi="Calibri"/>
                <w:sz w:val="22"/>
              </w:rPr>
              <w:t>Feb 23 &amp; Mar 27, 2026 (filed Jun 8)</w:t>
            </w:r>
          </w:p>
        </w:tc>
        <w:tc>
          <w:tcPr>
            <w:tcW w:type="dxa" w:w="1440"/>
          </w:tcPr>
          <w:p>
            <w:r>
              <w:rPr>
                <w:rFonts w:ascii="Calibri" w:hAnsi="Calibri"/>
                <w:sz w:val="22"/>
              </w:rPr>
              <w:t>Discretionary open-market purchases; very small size ($3,000–$4,000 estimated); mildly positive signal but not directionally meaningful.</w:t>
            </w:r>
          </w:p>
        </w:tc>
      </w:tr>
      <w:tr>
        <w:tc>
          <w:tcPr>
            <w:tcW w:type="dxa" w:w="1440"/>
          </w:tcPr>
          <w:p>
            <w:r>
              <w:rPr>
                <w:rFonts w:ascii="Calibri" w:hAnsi="Calibri"/>
                <w:sz w:val="22"/>
              </w:rPr>
              <w:t>Yandell Keith</w:t>
            </w:r>
          </w:p>
        </w:tc>
        <w:tc>
          <w:tcPr>
            <w:tcW w:type="dxa" w:w="1440"/>
          </w:tcPr>
          <w:p>
            <w:r>
              <w:rPr>
                <w:rFonts w:ascii="Calibri" w:hAnsi="Calibri"/>
                <w:sz w:val="22"/>
              </w:rPr>
              <w:t>Chief Business Officer</w:t>
            </w:r>
          </w:p>
        </w:tc>
        <w:tc>
          <w:tcPr>
            <w:tcW w:type="dxa" w:w="1440"/>
          </w:tcPr>
          <w:p>
            <w:r>
              <w:rPr>
                <w:rFonts w:ascii="Calibri" w:hAnsi="Calibri"/>
                <w:sz w:val="22"/>
              </w:rPr>
              <w:t>10b5-1 Planned Sale</w:t>
            </w:r>
          </w:p>
        </w:tc>
        <w:tc>
          <w:tcPr>
            <w:tcW w:type="dxa" w:w="1440"/>
          </w:tcPr>
          <w:p>
            <w:r>
              <w:rPr>
                <w:rFonts w:ascii="Calibri" w:hAnsi="Calibri"/>
                <w:sz w:val="22"/>
              </w:rPr>
              <w:t>2,643</w:t>
            </w:r>
          </w:p>
        </w:tc>
        <w:tc>
          <w:tcPr>
            <w:tcW w:type="dxa" w:w="1440"/>
          </w:tcPr>
          <w:p>
            <w:r>
              <w:rPr>
                <w:rFonts w:ascii="Calibri" w:hAnsi="Calibri"/>
                <w:sz w:val="22"/>
              </w:rPr>
              <w:t>May 26, 2026</w:t>
            </w:r>
          </w:p>
        </w:tc>
        <w:tc>
          <w:tcPr>
            <w:tcW w:type="dxa" w:w="1440"/>
          </w:tcPr>
          <w:p>
            <w:r>
              <w:rPr>
                <w:rFonts w:ascii="Calibri" w:hAnsi="Calibri"/>
                <w:sz w:val="22"/>
              </w:rPr>
              <w:t>Pre-planned; also sold 4,227 on May 20 under same plan.</w:t>
            </w:r>
          </w:p>
        </w:tc>
      </w:tr>
      <w:tr>
        <w:tc>
          <w:tcPr>
            <w:tcW w:type="dxa" w:w="1440"/>
          </w:tcPr>
          <w:p>
            <w:r>
              <w:rPr>
                <w:rFonts w:ascii="Calibri" w:hAnsi="Calibri"/>
                <w:sz w:val="22"/>
              </w:rPr>
              <w:t>Sherringham Tia</w:t>
            </w:r>
          </w:p>
        </w:tc>
        <w:tc>
          <w:tcPr>
            <w:tcW w:type="dxa" w:w="1440"/>
          </w:tcPr>
          <w:p>
            <w:r>
              <w:rPr>
                <w:rFonts w:ascii="Calibri" w:hAnsi="Calibri"/>
                <w:sz w:val="22"/>
              </w:rPr>
              <w:t>General Counsel &amp; Secretary</w:t>
            </w:r>
          </w:p>
        </w:tc>
        <w:tc>
          <w:tcPr>
            <w:tcW w:type="dxa" w:w="1440"/>
          </w:tcPr>
          <w:p>
            <w:r>
              <w:rPr>
                <w:rFonts w:ascii="Calibri" w:hAnsi="Calibri"/>
                <w:sz w:val="22"/>
              </w:rPr>
              <w:t>10b5-1 Planned Sale</w:t>
            </w:r>
          </w:p>
        </w:tc>
        <w:tc>
          <w:tcPr>
            <w:tcW w:type="dxa" w:w="1440"/>
          </w:tcPr>
          <w:p>
            <w:r>
              <w:rPr>
                <w:rFonts w:ascii="Calibri" w:hAnsi="Calibri"/>
                <w:sz w:val="22"/>
              </w:rPr>
              <w:t>2,743</w:t>
            </w:r>
          </w:p>
        </w:tc>
        <w:tc>
          <w:tcPr>
            <w:tcW w:type="dxa" w:w="1440"/>
          </w:tcPr>
          <w:p>
            <w:r>
              <w:rPr>
                <w:rFonts w:ascii="Calibri" w:hAnsi="Calibri"/>
                <w:sz w:val="22"/>
              </w:rPr>
              <w:t>May 22, 2026</w:t>
            </w:r>
          </w:p>
        </w:tc>
        <w:tc>
          <w:tcPr>
            <w:tcW w:type="dxa" w:w="1440"/>
          </w:tcPr>
          <w:p>
            <w:r>
              <w:rPr>
                <w:rFonts w:ascii="Calibri" w:hAnsi="Calibri"/>
                <w:sz w:val="22"/>
              </w:rPr>
              <w:t>Pre-planned; also sold 7,690 on May 20 under same plan.</w:t>
            </w:r>
          </w:p>
        </w:tc>
      </w:tr>
      <w:tr>
        <w:tc>
          <w:tcPr>
            <w:tcW w:type="dxa" w:w="1440"/>
          </w:tcPr>
          <w:p>
            <w:r>
              <w:rPr>
                <w:rFonts w:ascii="Calibri" w:hAnsi="Calibri"/>
                <w:sz w:val="22"/>
              </w:rPr>
              <w:t>Adarkar Prabir</w:t>
            </w:r>
          </w:p>
        </w:tc>
        <w:tc>
          <w:tcPr>
            <w:tcW w:type="dxa" w:w="1440"/>
          </w:tcPr>
          <w:p>
            <w:r>
              <w:rPr>
                <w:rFonts w:ascii="Calibri" w:hAnsi="Calibri"/>
                <w:sz w:val="22"/>
              </w:rPr>
              <w:t>President &amp; COO</w:t>
            </w:r>
          </w:p>
        </w:tc>
        <w:tc>
          <w:tcPr>
            <w:tcW w:type="dxa" w:w="1440"/>
          </w:tcPr>
          <w:p>
            <w:r>
              <w:rPr>
                <w:rFonts w:ascii="Calibri" w:hAnsi="Calibri"/>
                <w:sz w:val="22"/>
              </w:rPr>
              <w:t>Open Market Sale</w:t>
            </w:r>
          </w:p>
        </w:tc>
        <w:tc>
          <w:tcPr>
            <w:tcW w:type="dxa" w:w="1440"/>
          </w:tcPr>
          <w:p>
            <w:r>
              <w:rPr>
                <w:rFonts w:ascii="Calibri" w:hAnsi="Calibri"/>
                <w:sz w:val="22"/>
              </w:rPr>
              <w:t>17,126</w:t>
            </w:r>
          </w:p>
        </w:tc>
        <w:tc>
          <w:tcPr>
            <w:tcW w:type="dxa" w:w="1440"/>
          </w:tcPr>
          <w:p>
            <w:r>
              <w:rPr>
                <w:rFonts w:ascii="Calibri" w:hAnsi="Calibri"/>
                <w:sz w:val="22"/>
              </w:rPr>
              <w:t>May 20, 2026</w:t>
            </w:r>
          </w:p>
        </w:tc>
        <w:tc>
          <w:tcPr>
            <w:tcW w:type="dxa" w:w="1440"/>
          </w:tcPr>
          <w:p>
            <w:r>
              <w:rPr>
                <w:rFonts w:ascii="Calibri" w:hAnsi="Calibri"/>
                <w:sz w:val="22"/>
              </w:rPr>
              <w:t>Discretionary (not 10b5-1); largest single discretionary sale in the period; notable but not unusual for a COO-level executive post-lockup.</w:t>
            </w:r>
          </w:p>
        </w:tc>
      </w:tr>
      <w:tr>
        <w:tc>
          <w:tcPr>
            <w:tcW w:type="dxa" w:w="1440"/>
          </w:tcPr>
          <w:p>
            <w:r>
              <w:rPr>
                <w:rFonts w:ascii="Calibri" w:hAnsi="Calibri"/>
                <w:sz w:val="22"/>
              </w:rPr>
              <w:t>Lee Gordon S</w:t>
            </w:r>
          </w:p>
        </w:tc>
        <w:tc>
          <w:tcPr>
            <w:tcW w:type="dxa" w:w="1440"/>
          </w:tcPr>
          <w:p>
            <w:r>
              <w:rPr>
                <w:rFonts w:ascii="Calibri" w:hAnsi="Calibri"/>
                <w:sz w:val="22"/>
              </w:rPr>
              <w:t>Chief Accounting Officer</w:t>
            </w:r>
          </w:p>
        </w:tc>
        <w:tc>
          <w:tcPr>
            <w:tcW w:type="dxa" w:w="1440"/>
          </w:tcPr>
          <w:p>
            <w:r>
              <w:rPr>
                <w:rFonts w:ascii="Calibri" w:hAnsi="Calibri"/>
                <w:sz w:val="22"/>
              </w:rPr>
              <w:t>Open Market Sale</w:t>
            </w:r>
          </w:p>
        </w:tc>
        <w:tc>
          <w:tcPr>
            <w:tcW w:type="dxa" w:w="1440"/>
          </w:tcPr>
          <w:p>
            <w:r>
              <w:rPr>
                <w:rFonts w:ascii="Calibri" w:hAnsi="Calibri"/>
                <w:sz w:val="22"/>
              </w:rPr>
              <w:t>2,910</w:t>
            </w:r>
          </w:p>
        </w:tc>
        <w:tc>
          <w:tcPr>
            <w:tcW w:type="dxa" w:w="1440"/>
          </w:tcPr>
          <w:p>
            <w:r>
              <w:rPr>
                <w:rFonts w:ascii="Calibri" w:hAnsi="Calibri"/>
                <w:sz w:val="22"/>
              </w:rPr>
              <w:t>May 20, 2026</w:t>
            </w:r>
          </w:p>
        </w:tc>
        <w:tc>
          <w:tcPr>
            <w:tcW w:type="dxa" w:w="1440"/>
          </w:tcPr>
          <w:p>
            <w:r>
              <w:rPr>
                <w:rFonts w:ascii="Calibri" w:hAnsi="Calibri"/>
                <w:sz w:val="22"/>
              </w:rPr>
              <w:t>Discretionary; routine size for CAO-level.</w:t>
            </w:r>
          </w:p>
        </w:tc>
      </w:tr>
    </w:tbl>
    <w:p>
      <w:r>
        <w:rPr>
          <w:rFonts w:ascii="Calibri" w:hAnsi="Calibri"/>
          <w:i/>
          <w:color w:val="525866"/>
          <w:sz w:val="22"/>
        </w:rPr>
        <w:t>Source: SEC Form 4 Filings Database (Insider Transaction Data).</w:t>
      </w:r>
    </w:p>
    <w:p>
      <w:r>
        <w:rPr>
          <w:rFonts w:ascii="Calibri" w:hAnsi="Calibri"/>
          <w:b/>
          <w:color w:val="525866"/>
          <w:sz w:val="22"/>
        </w:rPr>
        <w:t>Additional note:</w:t>
      </w:r>
      <w:r>
        <w:rPr>
          <w:rFonts w:ascii="Calibri" w:hAnsi="Calibri"/>
          <w:color w:val="525866"/>
          <w:sz w:val="22"/>
        </w:rPr>
        <w:t xml:space="preserve"> As of August 3, 2026, Form 144 filings (intended sales) were filed by Tang Stanley (~$4.5M combined) and Fang Andy (~$2.0M), consistent with their ongoing 10b5-1 programs. The cluster of May 20 sales across multiple executives reflects a routine post-earnings window opening rather than any coordinated discretionary selling signal.</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