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d-earnings-predictions--2026-08-04"/>
    <w:p>
      <w:pPr>
        <w:pStyle w:val="Heading1"/>
      </w:pPr>
      <w:r>
        <w:t xml:space="preserve">DD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(Q2'26, post-split)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~$1.83 vs. cons $1.76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~$1.83B vs. cons $1.82B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~$438M vs. cons $430M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 (post-split)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~$7.15-7.22 vs. cons $7.17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~$7.18-7.24B vs. cons $7.20B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Adjusted EPS guidance (implied, post-split)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~$1.86 vs. cons $1.92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-0.7% (FADE)</w:t>
            </w:r>
          </w:p>
        </w:tc>
        <w:tc>
          <w:tcPr/>
          <w:p>
            <w:pPr>
              <w:pStyle w:val="Compact"/>
            </w:pPr>
            <w:r>
              <w:t xml:space="preserve">A modest EPS/EBITDA beat on in-line revenue triggers an initial pop given DD's consistent beat-and-raise history and reaffirmed FY26 guide, but the implied Q3 step-down (FX headwinds, sub-1% tailwind trimmed further, lingering construction/water softness, price-cost catch-up not fully realized until H2) leads sell-side models to trim out-quarter and FY27 estimates even after the headline beat — consistent with the pre-print downgrade thesis flagging a 'small beat now, Q3 disappointment' setup — causing the initial gain to fade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2026-08-04T00:13:07Z</dcterms:created>
  <dcterms:modified xsi:type="dcterms:W3CDTF">2026-08-04T00:13:07Z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