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dupont-dd-q2-2026-earnings-preview"/>
    <w:p>
      <w:pPr>
        <w:pStyle w:val="Heading1"/>
      </w:pPr>
      <w:r>
        <w:t xml:space="preserve">DuPont (DD)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8:00 a.m. ET</w:t>
      </w:r>
    </w:p>
    <w:p>
      <w:r>
        <w:pict>
          <v:rect style="width:0;height:1.5pt" o:hralign="center" o:hrstd="t" o:hr="t"/>
        </w:pict>
      </w:r>
    </w:p>
    <w:bookmarkStart w:id="9" w:name="setup-snapshot"/>
    <w:p>
      <w:pPr>
        <w:pStyle w:val="Heading2"/>
      </w:pPr>
      <w:r>
        <w:t xml:space="preserve">Setup 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Stock price (as of 8/3/26 close)</w:t>
            </w:r>
          </w:p>
        </w:tc>
        <w:tc>
          <w:tcPr/>
          <w:p>
            <w:pPr>
              <w:pStyle w:val="Compact"/>
            </w:pPr>
            <w:r>
              <w:t xml:space="preserve">~$141.31 (post reverse-split basis)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Company guidance for Q2'26 (pre-split, issued 5/5/26)</w:t>
            </w:r>
          </w:p>
        </w:tc>
        <w:tc>
          <w:tcPr/>
          <w:p>
            <w:pPr>
              <w:pStyle w:val="Compact"/>
            </w:pPr>
            <w:r>
              <w:t xml:space="preserve">Net sales ~</w:t>
            </w:r>
            <m:oMath>
              <m:r>
                <m:t>1.8</m:t>
              </m:r>
              <m:r>
                <m:t>B</m:t>
              </m:r>
              <m:r>
                <m:rPr>
                  <m:sty m:val="p"/>
                </m:rPr>
                <m:t>;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430M; Adjusted EPS ~$0.59</w:t>
            </w:r>
          </w:p>
        </w:tc>
      </w:tr>
      <w:tr>
        <w:tc>
          <w:tcPr/>
          <w:p>
            <w:pPr>
              <w:pStyle w:val="Compact"/>
            </w:pPr>
            <w:r>
              <w:t xml:space="preserve">Guidance in current split-adjusted terms</w:t>
            </w:r>
          </w:p>
        </w:tc>
        <w:tc>
          <w:tcPr/>
          <w:p>
            <w:pPr>
              <w:pStyle w:val="Compact"/>
            </w:pPr>
            <w:r>
              <w:t xml:space="preserve">Adjusted EPS ~$1.75-1.77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Street consensus (Zacks/Barchart)</w:t>
            </w:r>
          </w:p>
        </w:tc>
        <w:tc>
          <w:tcPr/>
          <w:p>
            <w:pPr>
              <w:pStyle w:val="Compact"/>
            </w:pPr>
            <w:r>
              <w:t xml:space="preserve">EPS ~</w:t>
            </w:r>
            <m:oMath>
              <m:r>
                <m:t>1.76</m:t>
              </m:r>
              <m:r>
                <m:rPr>
                  <m:sty m:val="p"/>
                </m:rPr>
                <m:t>;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 </m:t>
              </m:r>
            </m:oMath>
            <w:r>
              <w:t xml:space="preserve">1.82B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Beat streak</w:t>
            </w:r>
          </w:p>
        </w:tc>
        <w:tc>
          <w:tcPr/>
          <w:p>
            <w:pPr>
              <w:pStyle w:val="Compact"/>
            </w:pPr>
            <w:r>
              <w:t xml:space="preserve">Beat consensus in each of the last four quarters, average ~8% surprise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2026 guide (raised at Q1)</w:t>
            </w:r>
          </w:p>
        </w:tc>
        <w:tc>
          <w:tcPr/>
          <w:p>
            <w:pPr>
              <w:pStyle w:val="Compact"/>
            </w:pPr>
            <w:r>
              <w:t xml:space="preserve">Net sales $7.16–7.22B; Operating EBITDA $1.73–1.76B; Adjusted EPS $2.35–2.40 (pre-split)</w:t>
            </w:r>
          </w:p>
        </w:tc>
      </w:tr>
    </w:tbl>
    <w:p>
      <w:pPr>
        <w:pStyle w:val="BodyText"/>
      </w:pPr>
      <w:r>
        <w:t xml:space="preserve">A key housekeeping item for anyone modeling this print: DuPont executed a</w:t>
      </w:r>
      <w:r>
        <w:t xml:space="preserve"> </w:t>
      </w:r>
      <w:r>
        <w:rPr>
          <w:b/>
          <w:bCs/>
        </w:rPr>
        <w:t xml:space="preserve">1-for-3 reverse stock split effective June 24, 2026</w:t>
      </w:r>
      <w:r>
        <w:t xml:space="preserve">, which combined every three shares into one and cut authorized share count proportionately, while the ticker (DD) and guidance framework were unaffected in dollar terms. All prior per-share guidance should be tripled (roughly) to compare against today's stock price and consensus figures. Post-split, FY26 adjusted EPS guidance equates to roughly</w:t>
      </w:r>
      <w:r>
        <w:t xml:space="preserve"> </w:t>
      </w:r>
      <m:oMath>
        <m:r>
          <m:t>7.02</m:t>
        </m:r>
        <m:r>
          <m:rPr>
            <m:sty m:val="p"/>
          </m:rPr>
          <m:t>–</m:t>
        </m:r>
      </m:oMath>
      <w:r>
        <w:rPr>
          <w:b/>
          <w:bCs/>
        </w:rPr>
        <w:t xml:space="preserve">7.16 per share</w:t>
      </w:r>
      <w:r>
        <w:t xml:space="preserve">, versus Street consensus near $7.17.</w:t>
      </w:r>
    </w:p>
    <w:p>
      <w:r>
        <w:pict>
          <v:rect style="width:0;height:1.5pt" o:hralign="center" o:hrstd="t" o:hr="t"/>
        </w:pict>
      </w:r>
    </w:p>
    <w:bookmarkEnd w:id="9"/>
    <w:bookmarkStart w:id="10" w:name="Xe6ebf6b2157f9080281ca0f8d32a7a012a7f45e"/>
    <w:p>
      <w:pPr>
        <w:pStyle w:val="Heading2"/>
      </w:pPr>
      <w:r>
        <w:t xml:space="preserve">What Happened Last Quarter (Q1'26 Recap — the Base for Guidance)</w:t>
      </w:r>
    </w:p>
    <w:p>
      <w:pPr>
        <w:pStyle w:val="FirstParagraph"/>
      </w:pPr>
      <w:r>
        <w:t xml:space="preserve">DuPont's first quarter was a clean beat-and-raise: net sales of $1.7 billion rose 4% (2% organic), operating EBITDA of $414 million was up 15% with margin expanding 230 bps to 24.6%, and adjusted EPS of $0.55 grew 53% year-over-year. Management raised full-year guidance on the back of this, citing both the strong start and an interest-income benefit tied to the Aramids divestiture proceeds. Segment-wise, Healthcare &amp; Water Technologies (HWT) grew organic sales 3% (health care up high-single digits, water down low-to-mid-single digits due to Middle East logistics disruption), while Diversified Industrials (DI) was roughly flat organically, with aerospace/automotive strength offsetting continued construction weakness.</w:t>
      </w:r>
    </w:p>
    <w:p>
      <w:pPr>
        <w:pStyle w:val="BodyText"/>
      </w:pPr>
      <w:r>
        <w:t xml:space="preserve">Notably, management flagged</w:t>
      </w:r>
      <w:r>
        <w:t xml:space="preserve"> </w:t>
      </w:r>
      <w:r>
        <w:rPr>
          <w:b/>
          <w:bCs/>
        </w:rPr>
        <w:t xml:space="preserve">Q1-to-Q2 margin headwinds</w:t>
      </w:r>
      <w:r>
        <w:t xml:space="preserve"> </w:t>
      </w:r>
      <w:r>
        <w:t xml:space="preserve">of roughly 70 bps combined from price-cost timing (~30 bps, as surcharges lag cost increases) and unfavorable mix (~40 bps), meaning the ~24.6% Q1 margin should step down toward the low-24% range in Q2 even as absolute EBITDA grows.</w:t>
      </w:r>
    </w:p>
    <w:p>
      <w:r>
        <w:pict>
          <v:rect style="width:0;height:1.5pt" o:hralign="center" o:hrstd="t" o:hr="t"/>
        </w:pict>
      </w:r>
    </w:p>
    <w:bookmarkEnd w:id="10"/>
    <w:bookmarkStart w:id="17" w:name="key-themes-to-watch-in-tomorrows-print"/>
    <w:p>
      <w:pPr>
        <w:pStyle w:val="Heading2"/>
      </w:pPr>
      <w:r>
        <w:t xml:space="preserve">Key Themes to Watch in Tomorrow's Print</w:t>
      </w:r>
    </w:p>
    <w:bookmarkStart w:id="11" w:name="Xec55a496aa740f463b5aa48d4bcc32ce055dd52"/>
    <w:p>
      <w:pPr>
        <w:pStyle w:val="Heading3"/>
      </w:pPr>
      <w:r>
        <w:t xml:space="preserve">1. Middle East disruption and price-cost recovery</w:t>
      </w:r>
    </w:p>
    <w:p>
      <w:pPr>
        <w:pStyle w:val="FirstParagraph"/>
      </w:pPr>
      <w:r>
        <w:t xml:space="preserve">The Iran conflict and Strait of Hormuz/Red Sea disruptions created real, quantified drag in Q1 — about $10 million of Water segment sales couldn't ship, out of roughly $300 million of total Middle East-linked exposure (about 4% of company sales, split between sales into and sourcing from the region). Management said teams found alternative routing to mitigate most of the impact and had "not baked in a ton of disruption" for Q2. On costs, DuPont sized the incremental input-cost hit (largely HDPE for Tyvek and styrene for water/shelter) at roughly $90 million for the year, to be fully offset via price/surcharges — about $25 million of that offset lands in Q2, with a full run-rate not achieved until H2. Watch whether price realization tracked plan and whether the Q1-to-Q2 margin bridge (30 bps price-cost headwind, 40 bps mix headwind) played out as described, or whether escalation in the conflict forced additional surcharges or caused demand destruction.</w:t>
      </w:r>
    </w:p>
    <w:bookmarkEnd w:id="11"/>
    <w:bookmarkStart w:id="12" w:name="Xf2573abfabc4530cc9864ba4605ab9797b50a10"/>
    <w:p>
      <w:pPr>
        <w:pStyle w:val="Heading3"/>
      </w:pPr>
      <w:r>
        <w:t xml:space="preserve">2. Healthcare &amp; Water — the growth engine</w:t>
      </w:r>
    </w:p>
    <w:p>
      <w:pPr>
        <w:pStyle w:val="FirstParagraph"/>
      </w:pPr>
      <w:r>
        <w:t xml:space="preserve">Health care (medical packaging, biopharma/Liveo, Spectrum medical devices) was up high-single-digits organically in Q1 and guided to mid-single-digit growth in Q2, trending toward mid-to-high-single-digit growth for the full year — driven by aging-population/health-care-access megatrends and strength in higher-end Class III device packaging and cardiovascular applications. Water is expected to be roughly flat in H1 (masked by large-project timing and the Middle East disruption) before accelerating to high-single-digit growth in H2, landing at mid-single-digits for the year; underlying "recurring revenue" consumables growth was described as healthy throughout. A newer callout worth tracking:</w:t>
      </w:r>
      <w:r>
        <w:t xml:space="preserve"> </w:t>
      </w:r>
      <w:r>
        <w:rPr>
          <w:b/>
          <w:bCs/>
        </w:rPr>
        <w:t xml:space="preserve">microelectronics within ion exchange</w:t>
      </w:r>
      <w:r>
        <w:t xml:space="preserve"> </w:t>
      </w:r>
      <w:r>
        <w:t xml:space="preserve">(~20% of that business) is seeing a lift from data-center/AI-driven demand — a potential incremental growth vector analysts will probe for updates.</w:t>
      </w:r>
    </w:p>
    <w:bookmarkEnd w:id="12"/>
    <w:bookmarkStart w:id="13" w:name="X24efc59f78fdc27c029e9a0e448325f10a9bf5b"/>
    <w:p>
      <w:pPr>
        <w:pStyle w:val="Heading3"/>
      </w:pPr>
      <w:r>
        <w:t xml:space="preserve">3. Diversified Industrials — bifurcated end markets</w:t>
      </w:r>
    </w:p>
    <w:p>
      <w:pPr>
        <w:pStyle w:val="FirstParagraph"/>
      </w:pPr>
      <w:r>
        <w:t xml:space="preserve">Building Technologies continues to face soft North American residential construction (flat-to-slightly-down full-year assumption), while Industrial Technologies is being carried by aerospace strength and an EV battery-adhesives ramp (roughly $300 million of DuPont sales now go into EVs, growing well above the ~20% EV market growth rate on new qualification wins). Printing/packaging (inks, home/office printing) was a Q1 drag on a tough comp but is expected to normalize to low-single-digit growth for the year. The 80/20 margin-improvement initiative is roughly two-thirds through its initial study across four targeted DI businesses, with no top-line or margin benefit yet embedded in guidance — any acceleration here (or early data points) would be a positive surprise.</w:t>
      </w:r>
    </w:p>
    <w:bookmarkEnd w:id="13"/>
    <w:bookmarkStart w:id="14" w:name="Xd1f7fc26ea692fa3df3554977112ad1d888cf88"/>
    <w:p>
      <w:pPr>
        <w:pStyle w:val="Heading3"/>
      </w:pPr>
      <w:r>
        <w:t xml:space="preserve">4. Margin trajectory and cost actions</w:t>
      </w:r>
    </w:p>
    <w:p>
      <w:pPr>
        <w:pStyle w:val="FirstParagraph"/>
      </w:pPr>
      <w:r>
        <w:t xml:space="preserve">Q1 margin expansion (230 bps reported, 130 bps pro-forma) ran ahead of the company's 3-year target of 150–200 bps of pro-forma margin expansion (through productivity, self-help, and 80/20 actions) laid out at the September 2025 Investor Day. Stranded-cost removal (~$30 million total target over two years post-separation) is tracking to plan, with about $10 million out this year and run-rate savings roughly halfway there. Investors should watch whether the strong Q1 productivity contribution (~70 bps) is sustained or was mix-driven and less repeatable.</w:t>
      </w:r>
    </w:p>
    <w:bookmarkEnd w:id="14"/>
    <w:bookmarkStart w:id="15" w:name="X63b50849ef1a122059881fa59ccb367f1b7843d"/>
    <w:p>
      <w:pPr>
        <w:pStyle w:val="Heading3"/>
      </w:pPr>
      <w:r>
        <w:t xml:space="preserve">5. Capital allocation and portfolio moves</w:t>
      </w:r>
    </w:p>
    <w:p>
      <w:pPr>
        <w:pStyle w:val="FirstParagraph"/>
      </w:pPr>
      <w:r>
        <w:t xml:space="preserve">DuPont closed the</w:t>
      </w:r>
      <w:r>
        <w:t xml:space="preserve"> </w:t>
      </w:r>
      <w:r>
        <w:rPr>
          <w:b/>
          <w:bCs/>
        </w:rPr>
        <w:t xml:space="preserve">Aramids divestiture</w:t>
      </w:r>
      <w:r>
        <w:t xml:space="preserve"> </w:t>
      </w:r>
      <w:r>
        <w:t xml:space="preserve">on April 1, 2026 for ~$1.2 billion gross proceeds (a $300M note receivable plus a</w:t>
      </w:r>
      <w:r>
        <w:t xml:space="preserve"> </w:t>
      </w:r>
      <m:oMath>
        <m:r>
          <m:t>325</m:t>
        </m:r>
        <m:r>
          <m:t>M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o</m:t>
        </m:r>
        <m:r>
          <m:t>l</m:t>
        </m:r>
        <m:r>
          <m:t>l</m:t>
        </m:r>
        <m:r>
          <m:t>i</m:t>
        </m:r>
        <m:r>
          <m:t>n</m:t>
        </m:r>
        <m:r>
          <m:t>g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s</m:t>
        </m:r>
        <m:r>
          <m:t>t</m:t>
        </m:r>
        <m:r>
          <m:t>a</m:t>
        </m:r>
        <m:r>
          <m:t>k</m:t>
        </m:r>
        <m:r>
          <m:t>e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r</m:t>
        </m:r>
        <m:r>
          <m:rPr>
            <m:sty m:val="p"/>
          </m:rPr>
          <m:t>,</m:t>
        </m:r>
        <m:r>
          <m:t>A</m:t>
        </m:r>
        <m:r>
          <m:t>r</m:t>
        </m:r>
        <m:r>
          <m:t>c</m:t>
        </m:r>
        <m:r>
          <m:t>l</m:t>
        </m:r>
        <m:r>
          <m:t>i</m:t>
        </m:r>
        <m:r>
          <m:t>n</m:t>
        </m:r>
        <m:r>
          <m:rPr>
            <m:sty m:val="p"/>
          </m:rPr>
          <m:t>,</m:t>
        </m:r>
        <m:r>
          <m:t>a</m:t>
        </m:r>
        <m:r>
          <m:t>l</m:t>
        </m:r>
        <m:r>
          <m:t>o</m:t>
        </m:r>
        <m:r>
          <m:t>n</m:t>
        </m:r>
        <m:r>
          <m:t>g</m:t>
        </m:r>
        <m:r>
          <m:t>s</m:t>
        </m:r>
        <m:r>
          <m:t>i</m:t>
        </m:r>
        <m:r>
          <m:t>d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Q</m:t>
        </m:r>
        <m:r>
          <m:t>n</m:t>
        </m:r>
        <m:r>
          <m:t>i</m:t>
        </m:r>
        <m:r>
          <m:t>t</m:t>
        </m:r>
        <m:r>
          <m:t>y</m:t>
        </m:r>
        <m:r>
          <m:t>E</m:t>
        </m:r>
        <m:r>
          <m:t>l</m:t>
        </m:r>
        <m:r>
          <m:t>e</m:t>
        </m:r>
        <m:r>
          <m:t>c</m:t>
        </m:r>
        <m:r>
          <m:t>t</m:t>
        </m:r>
        <m:r>
          <m:t>r</m:t>
        </m:r>
        <m:r>
          <m:t>o</m:t>
        </m:r>
        <m:r>
          <m:t>n</m:t>
        </m:r>
        <m:r>
          <m:t>i</m:t>
        </m:r>
        <m:r>
          <m:t>c</m:t>
        </m:r>
        <m:r>
          <m:t>s</m:t>
        </m:r>
        <m:r>
          <m:t>s</m:t>
        </m:r>
        <m:r>
          <m:t>p</m:t>
        </m:r>
        <m:r>
          <m:t>i</m:t>
        </m:r>
        <m:r>
          <m:t>n</m:t>
        </m:r>
        <m:r>
          <m:rPr>
            <m:sty m:val="p"/>
          </m:rPr>
          <m:t>−</m:t>
        </m:r>
        <m:r>
          <m:t>o</m:t>
        </m:r>
        <m:r>
          <m:t>f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N</m:t>
        </m:r>
        <m:r>
          <m:t>o</m:t>
        </m:r>
        <m:r>
          <m:t>v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2025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275 million accelerated share repurchase** at the Q1 print (on top of a $500 million ASR already completed), against a $2 billion authorization, and reiterated a leverage target of 2x (currently running slightly below that) — leaving dry powder for bolt-on M&amp;A, particularly in health-care packaging/CDMO (Spectrum) to round out the portfolio. Longer-term, management reiterated a goal of shifting portfolio mix from today's roughly 50/50 HWT/DI split toward two-thirds HWT over the medium term.</w:t>
      </w:r>
    </w:p>
    <w:bookmarkEnd w:id="15"/>
    <w:bookmarkStart w:id="16" w:name="X265b8b1ce27de56d8c40421bd4e6fc01957fa4f"/>
    <w:p>
      <w:pPr>
        <w:pStyle w:val="Heading3"/>
      </w:pPr>
      <w:r>
        <w:t xml:space="preserve">6. PFAS/litigation</w:t>
      </w:r>
    </w:p>
    <w:p>
      <w:pPr>
        <w:pStyle w:val="FirstParagraph"/>
      </w:pPr>
      <w:r>
        <w:t xml:space="preserve">Management indicated "no updates" on PFAS-related personal injury litigation as of the Q1 call — a status quo investors should confirm hasn't changed, given DuPont's cost-sharing arrangement with Corteva and Chemours remains a lingering tail risk on the story.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the-bearbull-debate-heading-in"/>
    <w:p>
      <w:pPr>
        <w:pStyle w:val="Heading2"/>
      </w:pPr>
      <w:r>
        <w:t xml:space="preserve">The Bear/Bull Debate Heading In</w:t>
      </w:r>
    </w:p>
    <w:p>
      <w:pPr>
        <w:pStyle w:val="FirstParagraph"/>
      </w:pPr>
      <w:r>
        <w:t xml:space="preserve">Sell-side sentiment has softened modestly into the print: at least one independent research shop downgraded DD from Strong Buy to Buy in early July, arguing the stock "remains undervalued" but flagging that Q2 is likely only a small beat (driven by health care and aerospace strength) while Q3 guidance could disappoint given currency headwinds and lingering construction/water softness — even as they noted the $275M ASR "signals management's conviction" in the shares. Consensus analyst ratings remain constructive overall (average rating of Buy across sell-side coverage, with price targets generally implying double-digit upside from current levels), but the market will be sensitive to any incremental change in the full-year currency assumption (already trimmed to a sub-1% FX tailwind at Q1) and to commentary on whether Middle East-related cost inflation is fully offset or beginning to bite into margins as surcharges reach full run-rate in the back half.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Going into the print, the setup is one of a company executing well operationally (margin expansion running ahead of 3-year targets, consistent beat-and-raise pattern, disciplined capital return) but navigating real external noise — Middle East-driven cost inflation and logistics disruption, soft construction end-markets, and a currency backdrop that's become less favorable since the Q1 guide. The print itself should closely track the ~</w:t>
      </w:r>
      <m:oMath>
        <m:r>
          <m:t>1.8</m:t>
        </m:r>
        <m:r>
          <m:t>B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/</m:t>
        </m:r>
        <m:r>
          <m:t> </m:t>
        </m:r>
      </m:oMath>
      <w:r>
        <w:t xml:space="preserve">1.76-1.77 adjusted EPS guidance given the company's own confidence in April order trends; the more important signals for the stock will likely be</w:t>
      </w:r>
      <w:r>
        <w:t xml:space="preserve"> </w:t>
      </w:r>
      <w:r>
        <w:rPr>
          <w:b/>
          <w:bCs/>
        </w:rPr>
        <w:t xml:space="preserve">(1)</w:t>
      </w:r>
      <w:r>
        <w:t xml:space="preserve"> </w:t>
      </w:r>
      <w:r>
        <w:t xml:space="preserve">the tone and magnitude of any full-year guidance revision,</w:t>
      </w:r>
      <w:r>
        <w:t xml:space="preserve"> </w:t>
      </w:r>
      <w:r>
        <w:rPr>
          <w:b/>
          <w:bCs/>
        </w:rPr>
        <w:t xml:space="preserve">(2)</w:t>
      </w:r>
      <w:r>
        <w:t xml:space="preserve"> </w:t>
      </w:r>
      <w:r>
        <w:t xml:space="preserve">whether Middle East cost pass-through is running ahead or behind plan, and</w:t>
      </w:r>
      <w:r>
        <w:t xml:space="preserve"> </w:t>
      </w:r>
      <w:r>
        <w:rPr>
          <w:b/>
          <w:bCs/>
        </w:rPr>
        <w:t xml:space="preserve">(3)</w:t>
      </w:r>
      <w:r>
        <w:t xml:space="preserve"> </w:t>
      </w:r>
      <w:r>
        <w:t xml:space="preserve">fresh detail on health care/water demand durability and the 80/20 program's early margin contribution in Diversified Industrials.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2026-08-04T00:13:07Z</dcterms:created>
  <dcterms:modified xsi:type="dcterms:W3CDTF">2026-08-04T00:13:07Z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