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~$1.83B vs. cons $1.81B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~$438M vs. cons $430M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 vs. cons $1.79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~$7.23B midpoint vs. cons $7.175B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~$1.775B midpoint vs. cons $1.752B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~$7.25 midpoint vs. cons $7.16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FY2026 raise—particularly adjusted EPS of ~$7.25 versus consensus of</w:t>
            </w:r>
            <w:r>
              <w:t xml:space="preserve"> </w:t>
            </w:r>
            <m:oMath>
              <m:r>
                <m:t>7.16</m:t>
              </m:r>
              <m:r>
                <m:t>a</m:t>
              </m:r>
              <m:r>
                <m:t>n</m:t>
              </m:r>
              <m:r>
                <m:t>d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1.775B versus $1.752B—should drive positive estimate revisions beyond the initial Q2 beat, supporting additional five-day appreciation.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2026-08-04T00:12:31Z</dcterms:created>
  <dcterms:modified xsi:type="dcterms:W3CDTF">2026-08-04T00:12:31Z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