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dupont-nyse-dd--q2-2026-earnings-preview"/>
    <w:p>
      <w:pPr>
        <w:pStyle w:val="Heading1"/>
      </w:pPr>
      <w:r>
        <w:t xml:space="preserve">DuPont (NYSE: DD) — Q2 2026 Earnings Preview</w:t>
      </w:r>
    </w:p>
    <w:p>
      <w:pPr>
        <w:pStyle w:val="BlockText"/>
      </w:pPr>
      <w:r>
        <w:rPr>
          <w:b/>
          <w:bCs/>
        </w:rPr>
        <w:t xml:space="preserve">Date clarification:</w:t>
      </w:r>
      <w:r>
        <w:t xml:space="preserve"> </w:t>
      </w:r>
      <w:r>
        <w:t xml:space="preserve">DuPont is officially scheduled to release Q2 results at</w:t>
      </w:r>
      <w:r>
        <w:t xml:space="preserve"> </w:t>
      </w:r>
      <w:r>
        <w:rPr>
          <w:b/>
          <w:bCs/>
        </w:rPr>
        <w:t xml:space="preserve">6:00 a.m. ET today, Tuesday, August 4, 2026</w:t>
      </w:r>
      <w:r>
        <w:t xml:space="preserve">, followed by its conference call at</w:t>
      </w:r>
      <w:r>
        <w:t xml:space="preserve"> </w:t>
      </w:r>
      <w:r>
        <w:rPr>
          <w:b/>
          <w:bCs/>
        </w:rPr>
        <w:t xml:space="preserve">8:00 a.m. ET</w:t>
      </w:r>
      <w:r>
        <w:t xml:space="preserve">—not tomorrow. (</w:t>
      </w:r>
      <w:hyperlink r:id="rId9">
        <w:r>
          <w:rPr>
            <w:rStyle w:val="Hyperlink"/>
          </w:rPr>
          <w:t xml:space="preserve">dupont.com</w:t>
        </w:r>
      </w:hyperlink>
      <w:r>
        <w:t xml:space="preserve">)</w:t>
      </w:r>
    </w:p>
    <w:bookmarkStart w:id="11" w:name="executive-view"/>
    <w:p>
      <w:pPr>
        <w:pStyle w:val="Heading2"/>
      </w:pPr>
      <w:r>
        <w:t xml:space="preserve">Executive view</w:t>
      </w:r>
    </w:p>
    <w:p>
      <w:pPr>
        <w:pStyle w:val="FirstParagraph"/>
      </w:pPr>
      <w:r>
        <w:t xml:space="preserve">This should be less about whether DuPont can edge past a tightly guided Q2 number and more about whether management can</w:t>
      </w:r>
      <w:r>
        <w:t xml:space="preserve"> </w:t>
      </w:r>
      <w:r>
        <w:rPr>
          <w:b/>
          <w:bCs/>
        </w:rPr>
        <w:t xml:space="preserve">validate the second-half growth, margin, and cash-flow story</w:t>
      </w:r>
      <w:r>
        <w:t xml:space="preserve">.</w:t>
      </w:r>
    </w:p>
    <w:p>
      <w:pPr>
        <w:pStyle w:val="BodyText"/>
      </w:pPr>
      <w:r>
        <w:t xml:space="preserve">The company entered the quarter with momentum: Q1 organic sales rose 2%, operating EBITDA increased 15%, and transaction-adjusted free cash flow improved to $147 million. Management then raised full-year guidance. (</w:t>
      </w:r>
      <w:hyperlink r:id="rId10">
        <w:r>
          <w:rPr>
            <w:rStyle w:val="Hyperlink"/>
          </w:rPr>
          <w:t xml:space="preserve">investors.dupont.com</w:t>
        </w:r>
      </w:hyperlink>
      <w:r>
        <w:t xml:space="preserve">)</w:t>
      </w:r>
    </w:p>
    <w:p>
      <w:pPr>
        <w:pStyle w:val="BodyText"/>
      </w:pPr>
      <w:r>
        <w:t xml:space="preserve">The key questions are:</w:t>
      </w:r>
    </w:p>
    <w:p>
      <w:pPr>
        <w:pStyle w:val="Compact"/>
        <w:numPr>
          <w:ilvl w:val="0"/>
          <w:numId w:val="1001"/>
        </w:numPr>
      </w:pPr>
      <w:r>
        <w:t xml:space="preserve">Are Healthcare and Water growth tracking as planned?</w:t>
      </w:r>
    </w:p>
    <w:p>
      <w:pPr>
        <w:pStyle w:val="Compact"/>
        <w:numPr>
          <w:ilvl w:val="0"/>
          <w:numId w:val="1001"/>
        </w:numPr>
      </w:pPr>
      <w:r>
        <w:t xml:space="preserve">Is pricing fully offsetting Middle East-related raw-material and logistics inflation?</w:t>
      </w:r>
    </w:p>
    <w:p>
      <w:pPr>
        <w:pStyle w:val="Compact"/>
        <w:numPr>
          <w:ilvl w:val="0"/>
          <w:numId w:val="1001"/>
        </w:numPr>
      </w:pPr>
      <w:r>
        <w:t xml:space="preserve">Can DuPont preserve roughly 24% EBITDA margins despite less favorable mix?</w:t>
      </w:r>
    </w:p>
    <w:p>
      <w:pPr>
        <w:pStyle w:val="Compact"/>
        <w:numPr>
          <w:ilvl w:val="0"/>
          <w:numId w:val="1001"/>
        </w:numPr>
      </w:pPr>
      <w:r>
        <w:t xml:space="preserve">Will management maintain or raise its full-year outlook?</w:t>
      </w:r>
    </w:p>
    <w:p>
      <w:pPr>
        <w:pStyle w:val="Compact"/>
        <w:numPr>
          <w:ilvl w:val="0"/>
          <w:numId w:val="1001"/>
        </w:numPr>
      </w:pPr>
      <w:r>
        <w:t xml:space="preserve">How will Aramids proceeds be divided among buybacks, acquisitions, and balance-sheet flexibility?</w:t>
      </w:r>
    </w:p>
    <w:bookmarkEnd w:id="11"/>
    <w:bookmarkStart w:id="14" w:name="the-numbers-to-know"/>
    <w:p>
      <w:pPr>
        <w:pStyle w:val="Heading2"/>
      </w:pPr>
      <w:r>
        <w:t xml:space="preserve">The numbers to know</w:t>
      </w:r>
    </w:p>
    <w:p>
      <w:pPr>
        <w:pStyle w:val="FirstParagraph"/>
      </w:pPr>
      <w:r>
        <w:t xml:space="preserve">DuPont implemented a</w:t>
      </w:r>
      <w:r>
        <w:t xml:space="preserve"> </w:t>
      </w:r>
      <w:r>
        <w:rPr>
          <w:b/>
          <w:bCs/>
        </w:rPr>
        <w:t xml:space="preserve">1-for-3 reverse stock split on June 24</w:t>
      </w:r>
      <w:r>
        <w:t xml:space="preserve">, so investors should use split-adjusted EPS figures. The company translated its previous Q2 EPS guidance of approximately</w:t>
      </w:r>
      <w:r>
        <w:t xml:space="preserve"> </w:t>
      </w:r>
      <m:oMath>
        <m:r>
          <m:t>0.59</m:t>
        </m:r>
        <m:r>
          <m:t>i</m:t>
        </m:r>
        <m:r>
          <m:t>n</m:t>
        </m:r>
        <m:r>
          <m:t>t</m:t>
        </m:r>
        <m:r>
          <m:t>o</m:t>
        </m:r>
        <m:r>
          <m:t>a</m:t>
        </m:r>
        <m:r>
          <m:t>p</m:t>
        </m:r>
        <m:r>
          <m:t>p</m:t>
        </m:r>
        <m:r>
          <m:t>r</m:t>
        </m:r>
        <m:r>
          <m:t>o</m:t>
        </m:r>
        <m:r>
          <m:t>x</m:t>
        </m:r>
        <m:r>
          <m:t>i</m:t>
        </m:r>
        <m:r>
          <m:t>m</m:t>
        </m:r>
        <m:r>
          <m:t>a</m:t>
        </m:r>
        <m:r>
          <m:t>t</m:t>
        </m:r>
        <m:r>
          <m:t>e</m:t>
        </m:r>
        <m:r>
          <m:t>l</m:t>
        </m:r>
        <m:r>
          <m:t>y</m:t>
        </m:r>
        <m:r>
          <m:rPr>
            <m:sty m:val="p"/>
          </m:rPr>
          <m:t>*</m:t>
        </m:r>
        <m:r>
          <m:rPr>
            <m:sty m:val="p"/>
          </m:rPr>
          <m:t>*</m:t>
        </m:r>
      </m:oMath>
      <w:r>
        <w:t xml:space="preserve">1.75**, and its full-year range into</w:t>
      </w:r>
      <w:r>
        <w:t xml:space="preserve"> </w:t>
      </w:r>
      <m:oMath>
        <m:r>
          <m:t>7.02</m:t>
        </m:r>
        <m:r>
          <m:rPr>
            <m:sty m:val="p"/>
          </m:rPr>
          <m:t>–</m:t>
        </m:r>
      </m:oMath>
      <w:r>
        <w:rPr>
          <w:b/>
          <w:bCs/>
        </w:rPr>
        <w:t xml:space="preserve">7.16</w:t>
      </w:r>
      <w:r>
        <w:t xml:space="preserve">. (</w:t>
      </w:r>
      <w:hyperlink r:id="rId12">
        <w:r>
          <w:rPr>
            <w:rStyle w:val="Hyperlink"/>
          </w:rPr>
          <w:t xml:space="preserve">investors.dupont.com</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 Q2 guidance</w:t>
            </w:r>
          </w:p>
        </w:tc>
        <w:tc>
          <w:tcPr/>
          <w:p>
            <w:pPr>
              <w:pStyle w:val="Compact"/>
              <w:jc w:val="right"/>
            </w:pPr>
            <w:r>
              <w:t xml:space="preserve">Public consensus / reference point</w:t>
            </w:r>
          </w:p>
        </w:tc>
      </w:tr>
      <w:tr>
        <w:tc>
          <w:tcPr/>
          <w:p>
            <w:pPr>
              <w:pStyle w:val="Compact"/>
            </w:pPr>
            <w:r>
              <w:t xml:space="preserve">Revenue</w:t>
            </w:r>
          </w:p>
        </w:tc>
        <w:tc>
          <w:tcPr/>
          <w:p>
            <w:pPr>
              <w:pStyle w:val="Compact"/>
              <w:jc w:val="right"/>
            </w:pPr>
            <w:r>
              <w:t xml:space="preserve">Approximately</w:t>
            </w:r>
            <w:r>
              <w:t xml:space="preserve"> </w:t>
            </w:r>
            <w:r>
              <w:rPr>
                <w:b/>
                <w:bCs/>
              </w:rPr>
              <w:t xml:space="preserve">$1.80B</w:t>
            </w:r>
          </w:p>
        </w:tc>
        <w:tc>
          <w:tcPr/>
          <w:p>
            <w:pPr>
              <w:pStyle w:val="Compact"/>
              <w:jc w:val="right"/>
            </w:pPr>
            <w:r>
              <w:t xml:space="preserve">Approximately</w:t>
            </w:r>
            <w:r>
              <w:t xml:space="preserve"> </w:t>
            </w:r>
            <m:oMath>
              <m:r>
                <m:t>1.81</m:t>
              </m:r>
              <m:r>
                <m:t>B</m:t>
              </m:r>
              <m:r>
                <m:rPr>
                  <m:sty m:val="p"/>
                </m:rPr>
                <m:t>–</m:t>
              </m:r>
            </m:oMath>
            <w:r>
              <w:rPr>
                <w:b/>
                <w:bCs/>
              </w:rPr>
              <w:t xml:space="preserve">1.82B</w:t>
            </w:r>
          </w:p>
        </w:tc>
      </w:tr>
      <w:tr>
        <w:tc>
          <w:tcPr/>
          <w:p>
            <w:pPr>
              <w:pStyle w:val="Compact"/>
            </w:pPr>
            <w:r>
              <w:t xml:space="preserve">Operating EBITDA</w:t>
            </w:r>
          </w:p>
        </w:tc>
        <w:tc>
          <w:tcPr/>
          <w:p>
            <w:pPr>
              <w:pStyle w:val="Compact"/>
              <w:jc w:val="right"/>
            </w:pPr>
            <w:r>
              <w:t xml:space="preserve">Approximately</w:t>
            </w:r>
            <w:r>
              <w:t xml:space="preserve"> </w:t>
            </w:r>
            <w:r>
              <w:rPr>
                <w:b/>
                <w:bCs/>
              </w:rPr>
              <w:t xml:space="preserve">$430M</w:t>
            </w:r>
          </w:p>
        </w:tc>
        <w:tc>
          <w:tcPr/>
          <w:p>
            <w:pPr>
              <w:pStyle w:val="Compact"/>
              <w:jc w:val="right"/>
            </w:pPr>
            <w:r>
              <w:t xml:space="preserve">Company guide is the primary benchmark</w:t>
            </w:r>
          </w:p>
        </w:tc>
      </w:tr>
      <w:tr>
        <w:tc>
          <w:tcPr/>
          <w:p>
            <w:pPr>
              <w:pStyle w:val="Compact"/>
            </w:pPr>
            <w:r>
              <w:t xml:space="preserve">EBITDA margin</w:t>
            </w:r>
          </w:p>
        </w:tc>
        <w:tc>
          <w:tcPr/>
          <w:p>
            <w:pPr>
              <w:pStyle w:val="Compact"/>
              <w:jc w:val="right"/>
            </w:pPr>
            <w:r>
              <w:t xml:space="preserve">Approximately</w:t>
            </w:r>
            <w:r>
              <w:t xml:space="preserve"> </w:t>
            </w:r>
            <w:r>
              <w:rPr>
                <w:b/>
                <w:bCs/>
              </w:rPr>
              <w:t xml:space="preserve">23.9%</w:t>
            </w:r>
          </w:p>
        </w:tc>
        <w:tc>
          <w:tcPr/>
          <w:p>
            <w:pPr>
              <w:pStyle w:val="Compact"/>
              <w:jc w:val="right"/>
            </w:pPr>
            <w:r>
              <w:t xml:space="preserve">Down modestly from 24.6% in Q1</w:t>
            </w:r>
          </w:p>
        </w:tc>
      </w:tr>
      <w:tr>
        <w:tc>
          <w:tcPr/>
          <w:p>
            <w:pPr>
              <w:pStyle w:val="Compact"/>
            </w:pPr>
            <w:r>
              <w:t xml:space="preserve">Adjusted EPS, split-adjusted</w:t>
            </w:r>
          </w:p>
        </w:tc>
        <w:tc>
          <w:tcPr/>
          <w:p>
            <w:pPr>
              <w:pStyle w:val="Compact"/>
              <w:jc w:val="right"/>
            </w:pPr>
            <w:r>
              <w:t xml:space="preserve">Approximately</w:t>
            </w:r>
            <w:r>
              <w:t xml:space="preserve"> </w:t>
            </w:r>
            <w:r>
              <w:rPr>
                <w:b/>
                <w:bCs/>
              </w:rPr>
              <w:t xml:space="preserve">$1.75</w:t>
            </w:r>
          </w:p>
        </w:tc>
        <w:tc>
          <w:tcPr/>
          <w:p>
            <w:pPr>
              <w:pStyle w:val="Compact"/>
              <w:jc w:val="right"/>
            </w:pPr>
            <w:r>
              <w:t xml:space="preserve">Approximately</w:t>
            </w:r>
            <w:r>
              <w:t xml:space="preserve"> </w:t>
            </w:r>
            <w:r>
              <w:rPr>
                <w:b/>
                <w:bCs/>
              </w:rPr>
              <w:t xml:space="preserve">$1.76</w:t>
            </w:r>
          </w:p>
        </w:tc>
      </w:tr>
      <w:tr>
        <w:tc>
          <w:tcPr/>
          <w:p>
            <w:pPr>
              <w:pStyle w:val="Compact"/>
            </w:pPr>
            <w:r>
              <w:t xml:space="preserve">Organic sales growth</w:t>
            </w:r>
          </w:p>
        </w:tc>
        <w:tc>
          <w:tcPr/>
          <w:p>
            <w:pPr>
              <w:pStyle w:val="Compact"/>
              <w:jc w:val="right"/>
            </w:pPr>
            <w:r>
              <w:t xml:space="preserve">Approximately</w:t>
            </w:r>
            <w:r>
              <w:t xml:space="preserve"> </w:t>
            </w:r>
            <w:r>
              <w:rPr>
                <w:b/>
                <w:bCs/>
              </w:rPr>
              <w:t xml:space="preserve">3%</w:t>
            </w:r>
          </w:p>
        </w:tc>
        <w:tc>
          <w:tcPr/>
          <w:p>
            <w:pPr>
              <w:pStyle w:val="Compact"/>
              <w:jc w:val="right"/>
            </w:pPr>
            <w:r>
              <w:t xml:space="preserve">Company assumption</w:t>
            </w:r>
          </w:p>
        </w:tc>
      </w:tr>
    </w:tbl>
    <w:p>
      <w:pPr>
        <w:pStyle w:val="BodyText"/>
      </w:pPr>
      <w:r>
        <w:t xml:space="preserve">Public estimate aggregators cluster around $1.76 of adjusted EPS and</w:t>
      </w:r>
      <w:r>
        <w:t xml:space="preserve"> </w:t>
      </w:r>
      <m:oMath>
        <m:r>
          <m:t>1.81</m:t>
        </m:r>
        <m:r>
          <m:rPr>
            <m:sty m:val="p"/>
          </m:rPr>
          <m:t>–</m:t>
        </m:r>
      </m:oMath>
      <w:r>
        <w:t xml:space="preserve">1.82 billion of revenue, leaving expectations essentially aligned with management’s guidance. (</w:t>
      </w:r>
      <w:hyperlink r:id="rId13">
        <w:r>
          <w:rPr>
            <w:rStyle w:val="Hyperlink"/>
          </w:rPr>
          <w:t xml:space="preserve">tipranks.com</w:t>
        </w:r>
      </w:hyperlink>
      <w:r>
        <w:t xml:space="preserve">)</w:t>
      </w:r>
    </w:p>
    <w:p>
      <w:pPr>
        <w:pStyle w:val="BodyText"/>
      </w:pPr>
      <w:r>
        <w:rPr>
          <w:b/>
          <w:bCs/>
        </w:rPr>
        <w:t xml:space="preserve">Implication:</w:t>
      </w:r>
      <w:r>
        <w:t xml:space="preserve"> </w:t>
      </w:r>
      <w:r>
        <w:t xml:space="preserve">A small EPS beat alone probably will not be enough. The stock’s reaction should depend more heavily on organic growth quality, margins, and the full-year outlook.</w:t>
      </w:r>
    </w:p>
    <w:bookmarkEnd w:id="14"/>
    <w:bookmarkStart w:id="20" w:name="what-matters-most"/>
    <w:p>
      <w:pPr>
        <w:pStyle w:val="Heading2"/>
      </w:pPr>
      <w:r>
        <w:t xml:space="preserve">What matters most</w:t>
      </w:r>
    </w:p>
    <w:bookmarkStart w:id="16" w:name="Xb576c4e2c949abf3aa3ee5f94dcaa4217df6455"/>
    <w:p>
      <w:pPr>
        <w:pStyle w:val="Heading3"/>
      </w:pPr>
      <w:r>
        <w:t xml:space="preserve">1. Healthcare needs to remain the growth anchor</w:t>
      </w:r>
    </w:p>
    <w:p>
      <w:pPr>
        <w:pStyle w:val="FirstParagraph"/>
      </w:pPr>
      <w:r>
        <w:t xml:space="preserve">Management guided Healthcare &amp; Water Technologies to</w:t>
      </w:r>
      <w:r>
        <w:t xml:space="preserve"> </w:t>
      </w:r>
      <w:r>
        <w:rPr>
          <w:b/>
          <w:bCs/>
        </w:rPr>
        <w:t xml:space="preserve">mid-single-digit Q2 organic growth</w:t>
      </w:r>
      <w:r>
        <w:t xml:space="preserve">, led by medical devices, biopharma, and industrial water. In Q1, Healthcare grew at a high-single-digit organic rate, with strength in medical packaging and biopharma. (</w:t>
      </w:r>
      <w:hyperlink r:id="rId15">
        <w:r>
          <w:rPr>
            <w:rStyle w:val="Hyperlink"/>
          </w:rPr>
          <w:t xml:space="preserve">s23.q4cdn.com</w:t>
        </w:r>
      </w:hyperlink>
      <w:r>
        <w:t xml:space="preserve">)</w:t>
      </w:r>
    </w:p>
    <w:p>
      <w:pPr>
        <w:pStyle w:val="BodyText"/>
      </w:pPr>
      <w:r>
        <w:t xml:space="preserve">Investors should look for:</w:t>
      </w:r>
    </w:p>
    <w:p>
      <w:pPr>
        <w:pStyle w:val="Compact"/>
        <w:numPr>
          <w:ilvl w:val="0"/>
          <w:numId w:val="1002"/>
        </w:numPr>
      </w:pPr>
      <w:r>
        <w:t xml:space="preserve">Continued strength in Tyvek medical packaging.</w:t>
      </w:r>
    </w:p>
    <w:p>
      <w:pPr>
        <w:pStyle w:val="Compact"/>
        <w:numPr>
          <w:ilvl w:val="0"/>
          <w:numId w:val="1002"/>
        </w:numPr>
      </w:pPr>
      <w:r>
        <w:t xml:space="preserve">Sustained recovery in Liveo biopharma demand.</w:t>
      </w:r>
    </w:p>
    <w:p>
      <w:pPr>
        <w:pStyle w:val="Compact"/>
        <w:numPr>
          <w:ilvl w:val="0"/>
          <w:numId w:val="1002"/>
        </w:numPr>
      </w:pPr>
      <w:r>
        <w:t xml:space="preserve">Growth at Spectrum’s medical-device/CDMO operations.</w:t>
      </w:r>
    </w:p>
    <w:p>
      <w:pPr>
        <w:pStyle w:val="Compact"/>
        <w:numPr>
          <w:ilvl w:val="0"/>
          <w:numId w:val="1002"/>
        </w:numPr>
      </w:pPr>
      <w:r>
        <w:t xml:space="preserve">Evidence that the business can maintain growth without relying excessively on price.</w:t>
      </w:r>
    </w:p>
    <w:p>
      <w:pPr>
        <w:pStyle w:val="FirstParagraph"/>
      </w:pPr>
      <w:r>
        <w:t xml:space="preserve">A continuation of mid- to high-single-digit Healthcare growth would reinforce the argument that post-separation DuPont deserves a higher-quality specialty-materials multiple.</w:t>
      </w:r>
    </w:p>
    <w:bookmarkEnd w:id="16"/>
    <w:bookmarkStart w:id="17" w:name="Xc5daa5e70616944ad6d438238cb8ca5891882c3"/>
    <w:p>
      <w:pPr>
        <w:pStyle w:val="Heading3"/>
      </w:pPr>
      <w:r>
        <w:t xml:space="preserve">2. Water must demonstrate that Q1 weakness was timing-related</w:t>
      </w:r>
    </w:p>
    <w:p>
      <w:pPr>
        <w:pStyle w:val="FirstParagraph"/>
      </w:pPr>
      <w:r>
        <w:t xml:space="preserve">Water organic sales declined in Q1 because of Middle East logistics disruption and project timing. Approximately $10 million of delayed Q1 shipments had already shipped in April, while management expected Water to be roughly flat in the first half and accelerate in the second half as large industrial and desalination projects come through. (</w:t>
      </w:r>
      <w:hyperlink r:id="rId15">
        <w:r>
          <w:rPr>
            <w:rStyle w:val="Hyperlink"/>
          </w:rPr>
          <w:t xml:space="preserve">s23.q4cdn.com</w:t>
        </w:r>
      </w:hyperlink>
      <w:r>
        <w:t xml:space="preserve">)</w:t>
      </w:r>
    </w:p>
    <w:p>
      <w:pPr>
        <w:pStyle w:val="BodyText"/>
      </w:pPr>
      <w:r>
        <w:t xml:space="preserve">The important questions are:</w:t>
      </w:r>
    </w:p>
    <w:p>
      <w:pPr>
        <w:pStyle w:val="Compact"/>
        <w:numPr>
          <w:ilvl w:val="0"/>
          <w:numId w:val="1003"/>
        </w:numPr>
      </w:pPr>
      <w:r>
        <w:t xml:space="preserve">Did the delayed Q1 volume fully convert into Q2 revenue?</w:t>
      </w:r>
    </w:p>
    <w:p>
      <w:pPr>
        <w:pStyle w:val="Compact"/>
        <w:numPr>
          <w:ilvl w:val="0"/>
          <w:numId w:val="1003"/>
        </w:numPr>
      </w:pPr>
      <w:r>
        <w:t xml:space="preserve">Are Middle East routes and raw-material supplies functioning normally?</w:t>
      </w:r>
    </w:p>
    <w:p>
      <w:pPr>
        <w:pStyle w:val="Compact"/>
        <w:numPr>
          <w:ilvl w:val="0"/>
          <w:numId w:val="1003"/>
        </w:numPr>
      </w:pPr>
      <w:r>
        <w:t xml:space="preserve">Are second-half desalination projects still on schedule?</w:t>
      </w:r>
    </w:p>
    <w:p>
      <w:pPr>
        <w:pStyle w:val="Compact"/>
        <w:numPr>
          <w:ilvl w:val="0"/>
          <w:numId w:val="1003"/>
        </w:numPr>
      </w:pPr>
      <w:r>
        <w:t xml:space="preserve">Is recurring consumables demand growing independently of project timing?</w:t>
      </w:r>
    </w:p>
    <w:p>
      <w:pPr>
        <w:pStyle w:val="FirstParagraph"/>
      </w:pPr>
      <w:r>
        <w:t xml:space="preserve">A weak Q2 Water result accompanied by another promise of second-half recovery would lower confidence in the full-year organic-growth target.</w:t>
      </w:r>
    </w:p>
    <w:bookmarkEnd w:id="17"/>
    <w:bookmarkStart w:id="18" w:name="X71432b536e56f19ac16cad040d249780e45c25d"/>
    <w:p>
      <w:pPr>
        <w:pStyle w:val="Heading3"/>
      </w:pPr>
      <w:r>
        <w:t xml:space="preserve">3. Price-cost execution is the principal margin test</w:t>
      </w:r>
    </w:p>
    <w:p>
      <w:pPr>
        <w:pStyle w:val="FirstParagraph"/>
      </w:pPr>
      <w:r>
        <w:t xml:space="preserve">DuPont estimated approximately</w:t>
      </w:r>
      <w:r>
        <w:t xml:space="preserve"> </w:t>
      </w:r>
      <w:r>
        <w:rPr>
          <w:b/>
          <w:bCs/>
        </w:rPr>
        <w:t xml:space="preserve">$90 million of incremental input costs</w:t>
      </w:r>
      <w:r>
        <w:t xml:space="preserve"> </w:t>
      </w:r>
      <w:r>
        <w:t xml:space="preserve">associated with the Middle East environment and planned to offset these costs through pricing and surcharges. Approximately $25 million of Q2 pricing was expected, although management acknowledged that the timing mismatch between price and cost would create roughly a</w:t>
      </w:r>
      <w:r>
        <w:t xml:space="preserve"> </w:t>
      </w:r>
      <w:r>
        <w:rPr>
          <w:b/>
          <w:bCs/>
        </w:rPr>
        <w:t xml:space="preserve">30-basis-point Q2 margin headwind</w:t>
      </w:r>
      <w:r>
        <w:t xml:space="preserve">. Mix was expected to create another roughly 40-basis-point sequential headwind. (</w:t>
      </w:r>
      <w:hyperlink r:id="rId15">
        <w:r>
          <w:rPr>
            <w:rStyle w:val="Hyperlink"/>
          </w:rPr>
          <w:t xml:space="preserve">s23.q4cdn.com</w:t>
        </w:r>
      </w:hyperlink>
      <w:r>
        <w:t xml:space="preserve">)</w:t>
      </w:r>
    </w:p>
    <w:p>
      <w:pPr>
        <w:pStyle w:val="BodyText"/>
      </w:pPr>
      <w:r>
        <w:t xml:space="preserve">That explains why EBITDA margin is guided to approximately 23.9%, versus 24.6% in Q1.</w:t>
      </w:r>
    </w:p>
    <w:p>
      <w:pPr>
        <w:pStyle w:val="BodyText"/>
      </w:pPr>
      <w:r>
        <w:t xml:space="preserve">A constructive result would show:</w:t>
      </w:r>
    </w:p>
    <w:p>
      <w:pPr>
        <w:pStyle w:val="Compact"/>
        <w:numPr>
          <w:ilvl w:val="0"/>
          <w:numId w:val="1004"/>
        </w:numPr>
      </w:pPr>
      <w:r>
        <w:t xml:space="preserve">Price realization near plan.</w:t>
      </w:r>
    </w:p>
    <w:p>
      <w:pPr>
        <w:pStyle w:val="Compact"/>
        <w:numPr>
          <w:ilvl w:val="0"/>
          <w:numId w:val="1004"/>
        </w:numPr>
      </w:pPr>
      <w:r>
        <w:t xml:space="preserve">Limited volume elasticity or customer pushback.</w:t>
      </w:r>
    </w:p>
    <w:p>
      <w:pPr>
        <w:pStyle w:val="Compact"/>
        <w:numPr>
          <w:ilvl w:val="0"/>
          <w:numId w:val="1004"/>
        </w:numPr>
      </w:pPr>
      <w:r>
        <w:t xml:space="preserve">No material expansion in the $90 million cost estimate.</w:t>
      </w:r>
    </w:p>
    <w:p>
      <w:pPr>
        <w:pStyle w:val="Compact"/>
        <w:numPr>
          <w:ilvl w:val="0"/>
          <w:numId w:val="1004"/>
        </w:numPr>
      </w:pPr>
      <w:r>
        <w:t xml:space="preserve">Productivity continuing to offset underlying inflation.</w:t>
      </w:r>
    </w:p>
    <w:p>
      <w:pPr>
        <w:pStyle w:val="Compact"/>
        <w:numPr>
          <w:ilvl w:val="0"/>
          <w:numId w:val="1004"/>
        </w:numPr>
      </w:pPr>
      <w:r>
        <w:t xml:space="preserve">Confidence that price-cost becomes neutral or positive in the second half.</w:t>
      </w:r>
    </w:p>
    <w:p>
      <w:pPr>
        <w:pStyle w:val="FirstParagraph"/>
      </w:pPr>
      <w:r>
        <w:t xml:space="preserve">A margin below roughly 23.5%, absent a clear timing explanation, would be a meaningful disappointment.</w:t>
      </w:r>
    </w:p>
    <w:bookmarkEnd w:id="18"/>
    <w:bookmarkStart w:id="19" w:name="Xb14a929a22ff79f8d1ab19e1c8875bf422b4b77"/>
    <w:p>
      <w:pPr>
        <w:pStyle w:val="Heading3"/>
      </w:pPr>
      <w:r>
        <w:t xml:space="preserve">4. Diversified Industrials needs more than aerospace</w:t>
      </w:r>
    </w:p>
    <w:p>
      <w:pPr>
        <w:pStyle w:val="FirstParagraph"/>
      </w:pPr>
      <w:r>
        <w:t xml:space="preserve">DuPont expects low-single-digit organic growth in Diversified Industrials. Aerospace and automotive—particularly EV battery-adhesive wins—have been the primary supports, while North American residential construction has remained weak. Printing and packaging were expected to improve from a soft Q1. (</w:t>
      </w:r>
      <w:hyperlink r:id="rId15">
        <w:r>
          <w:rPr>
            <w:rStyle w:val="Hyperlink"/>
          </w:rPr>
          <w:t xml:space="preserve">s23.q4cdn.com</w:t>
        </w:r>
      </w:hyperlink>
      <w:r>
        <w:t xml:space="preserve">)</w:t>
      </w:r>
    </w:p>
    <w:p>
      <w:pPr>
        <w:pStyle w:val="BodyText"/>
      </w:pPr>
      <w:r>
        <w:t xml:space="preserve">Watch for:</w:t>
      </w:r>
    </w:p>
    <w:p>
      <w:pPr>
        <w:pStyle w:val="Compact"/>
        <w:numPr>
          <w:ilvl w:val="0"/>
          <w:numId w:val="1005"/>
        </w:numPr>
      </w:pPr>
      <w:r>
        <w:t xml:space="preserve">Continued aerospace growth.</w:t>
      </w:r>
    </w:p>
    <w:p>
      <w:pPr>
        <w:pStyle w:val="Compact"/>
        <w:numPr>
          <w:ilvl w:val="0"/>
          <w:numId w:val="1005"/>
        </w:numPr>
      </w:pPr>
      <w:r>
        <w:t xml:space="preserve">Conversion of EV battery-adhesive program wins into revenue.</w:t>
      </w:r>
    </w:p>
    <w:p>
      <w:pPr>
        <w:pStyle w:val="Compact"/>
        <w:numPr>
          <w:ilvl w:val="0"/>
          <w:numId w:val="1005"/>
        </w:numPr>
      </w:pPr>
      <w:r>
        <w:t xml:space="preserve">Stabilization in printing and packaging.</w:t>
      </w:r>
    </w:p>
    <w:p>
      <w:pPr>
        <w:pStyle w:val="Compact"/>
        <w:numPr>
          <w:ilvl w:val="0"/>
          <w:numId w:val="1005"/>
        </w:numPr>
      </w:pPr>
      <w:r>
        <w:t xml:space="preserve">Any deterioration in building and construction.</w:t>
      </w:r>
    </w:p>
    <w:p>
      <w:pPr>
        <w:pStyle w:val="Compact"/>
        <w:numPr>
          <w:ilvl w:val="0"/>
          <w:numId w:val="1005"/>
        </w:numPr>
      </w:pPr>
      <w:r>
        <w:t xml:space="preserve">Progress from DuPont’s “80/20” portfolio and productivity work.</w:t>
      </w:r>
    </w:p>
    <w:p>
      <w:pPr>
        <w:pStyle w:val="FirstParagraph"/>
      </w:pPr>
      <w:r>
        <w:t xml:space="preserve">If construction remains weak but segment margin holds near 23%, that would still be a respectable operational result.</w:t>
      </w:r>
    </w:p>
    <w:bookmarkEnd w:id="19"/>
    <w:bookmarkEnd w:id="20"/>
    <w:bookmarkStart w:id="21" w:name="X131fa20a8869b171a601e269403cbe759af96f1"/>
    <w:p>
      <w:pPr>
        <w:pStyle w:val="Heading2"/>
      </w:pPr>
      <w:r>
        <w:t xml:space="preserve">Full-year guidance is the likely stock-moving item</w:t>
      </w:r>
    </w:p>
    <w:p>
      <w:pPr>
        <w:pStyle w:val="FirstParagraph"/>
      </w:pPr>
      <w:r>
        <w:t xml:space="preserve">Current full-year guidance calls for:</w:t>
      </w:r>
    </w:p>
    <w:p>
      <w:pPr>
        <w:pStyle w:val="Compact"/>
        <w:numPr>
          <w:ilvl w:val="0"/>
          <w:numId w:val="1006"/>
        </w:numPr>
      </w:pPr>
      <w:r>
        <w:rPr>
          <w:b/>
          <w:bCs/>
        </w:rPr>
        <w:t xml:space="preserve">Revenue:</w:t>
      </w:r>
      <w:r>
        <w:t xml:space="preserve"> </w:t>
      </w:r>
      <m:oMath>
        <m:r>
          <m:t>7.155</m:t>
        </m:r>
        <m:r>
          <m:t>B</m:t>
        </m:r>
        <m:r>
          <m:rPr>
            <m:sty m:val="p"/>
          </m:rPr>
          <m:t>–</m:t>
        </m:r>
      </m:oMath>
      <w:r>
        <w:t xml:space="preserve">7.215B</w:t>
      </w:r>
    </w:p>
    <w:p>
      <w:pPr>
        <w:pStyle w:val="Compact"/>
        <w:numPr>
          <w:ilvl w:val="0"/>
          <w:numId w:val="1006"/>
        </w:numPr>
      </w:pPr>
      <w:r>
        <w:rPr>
          <w:b/>
          <w:bCs/>
        </w:rPr>
        <w:t xml:space="preserve">Operating EBITDA:</w:t>
      </w:r>
      <w:r>
        <w:t xml:space="preserve"> </w:t>
      </w:r>
      <m:oMath>
        <m:r>
          <m:t>1.730</m:t>
        </m:r>
        <m:r>
          <m:t>B</m:t>
        </m:r>
        <m:r>
          <m:rPr>
            <m:sty m:val="p"/>
          </m:rPr>
          <m:t>–</m:t>
        </m:r>
      </m:oMath>
      <w:r>
        <w:t xml:space="preserve">1.760B</w:t>
      </w:r>
    </w:p>
    <w:p>
      <w:pPr>
        <w:pStyle w:val="Compact"/>
        <w:numPr>
          <w:ilvl w:val="0"/>
          <w:numId w:val="1006"/>
        </w:numPr>
      </w:pPr>
      <w:r>
        <w:rPr>
          <w:b/>
          <w:bCs/>
        </w:rPr>
        <w:t xml:space="preserve">Adjusted EPS:</w:t>
      </w:r>
      <w:r>
        <w:t xml:space="preserve"> </w:t>
      </w:r>
      <m:oMath>
        <m:r>
          <m:t>7.02</m:t>
        </m:r>
        <m:r>
          <m:rPr>
            <m:sty m:val="p"/>
          </m:rPr>
          <m:t>–</m:t>
        </m:r>
      </m:oMath>
      <w:r>
        <w:t xml:space="preserve">7.16, split-adjusted</w:t>
      </w:r>
    </w:p>
    <w:p>
      <w:pPr>
        <w:pStyle w:val="Compact"/>
        <w:numPr>
          <w:ilvl w:val="0"/>
          <w:numId w:val="1006"/>
        </w:numPr>
      </w:pPr>
      <w:r>
        <w:rPr>
          <w:b/>
          <w:bCs/>
        </w:rPr>
        <w:t xml:space="preserve">Organic growth:</w:t>
      </w:r>
      <w:r>
        <w:t xml:space="preserve"> </w:t>
      </w:r>
      <w:r>
        <w:t xml:space="preserve">approximately 4%, including roughly one point of pricing</w:t>
      </w:r>
    </w:p>
    <w:p>
      <w:pPr>
        <w:pStyle w:val="Compact"/>
        <w:numPr>
          <w:ilvl w:val="0"/>
          <w:numId w:val="1006"/>
        </w:numPr>
      </w:pPr>
      <w:r>
        <w:rPr>
          <w:b/>
          <w:bCs/>
        </w:rPr>
        <w:t xml:space="preserve">Free-cash-flow conversion:</w:t>
      </w:r>
      <w:r>
        <w:t xml:space="preserve"> </w:t>
      </w:r>
      <w:r>
        <w:t xml:space="preserve">greater than 90% (</w:t>
      </w:r>
      <w:hyperlink r:id="rId12">
        <w:r>
          <w:rPr>
            <w:rStyle w:val="Hyperlink"/>
          </w:rPr>
          <w:t xml:space="preserve">investors.dupont.com</w:t>
        </w:r>
      </w:hyperlink>
      <w:r>
        <w:t xml:space="preserve">)</w:t>
      </w:r>
    </w:p>
    <w:p>
      <w:pPr>
        <w:pStyle w:val="FirstParagraph"/>
      </w:pPr>
      <w:r>
        <w:t xml:space="preserve">The Q2 guide implies first-half operating EBITDA of approximately $844 million, or roughly 48% of the full-year midpoint. That leaves a second half requiring approximately $900 million of EBITDA, supported by Water project timing, fuller price realization, productivity, and normal seasonal improvement. (</w:t>
      </w:r>
      <w:hyperlink r:id="rId15">
        <w:r>
          <w:rPr>
            <w:rStyle w:val="Hyperlink"/>
          </w:rPr>
          <w:t xml:space="preserve">s23.q4cdn.com</w:t>
        </w:r>
      </w:hyperlink>
      <w:r>
        <w:t xml:space="preserve">)</w:t>
      </w:r>
    </w:p>
    <w:p>
      <w:pPr>
        <w:pStyle w:val="BodyText"/>
      </w:pPr>
      <w:r>
        <w:rPr>
          <w:b/>
          <w:bCs/>
        </w:rPr>
        <w:t xml:space="preserve">Maintaining guidance would be acceptable</w:t>
      </w:r>
      <w:r>
        <w:t xml:space="preserve">, provided management expresses confidence in Water and price-cost execution. A modest raise would be clearly positive. A reduction caused by project delays, inflation, or construction weakness would challenge the post-separation rerating thesis.</w:t>
      </w:r>
    </w:p>
    <w:bookmarkEnd w:id="21"/>
    <w:bookmarkStart w:id="22" w:name="capital-allocation"/>
    <w:p>
      <w:pPr>
        <w:pStyle w:val="Heading2"/>
      </w:pPr>
      <w:r>
        <w:t xml:space="preserve">Capital allocation</w:t>
      </w:r>
    </w:p>
    <w:p>
      <w:pPr>
        <w:pStyle w:val="FirstParagraph"/>
      </w:pPr>
      <w:r>
        <w:t xml:space="preserve">DuPont received approximately $1.1 billion of net cash proceeds from the Aramids sale and announced a $275 million accelerated repurchase after previously completing a $500 million ASR. That leaves substantial capacity under its $2 billion authorization. Management has also indicated interest in healthcare-related acquisitions while targeting leverage around 2x. (</w:t>
      </w:r>
      <w:hyperlink r:id="rId15">
        <w:r>
          <w:rPr>
            <w:rStyle w:val="Hyperlink"/>
          </w:rPr>
          <w:t xml:space="preserve">s23.q4cdn.com</w:t>
        </w:r>
      </w:hyperlink>
      <w:r>
        <w:t xml:space="preserve">)</w:t>
      </w:r>
    </w:p>
    <w:p>
      <w:pPr>
        <w:pStyle w:val="BodyText"/>
      </w:pPr>
      <w:r>
        <w:t xml:space="preserve">Investors should listen for:</w:t>
      </w:r>
    </w:p>
    <w:p>
      <w:pPr>
        <w:pStyle w:val="Compact"/>
        <w:numPr>
          <w:ilvl w:val="0"/>
          <w:numId w:val="1007"/>
        </w:numPr>
      </w:pPr>
      <w:r>
        <w:t xml:space="preserve">Completion and share-count benefit from the latest ASR.</w:t>
      </w:r>
    </w:p>
    <w:p>
      <w:pPr>
        <w:pStyle w:val="Compact"/>
        <w:numPr>
          <w:ilvl w:val="0"/>
          <w:numId w:val="1007"/>
        </w:numPr>
      </w:pPr>
      <w:r>
        <w:t xml:space="preserve">Additional buyback plans.</w:t>
      </w:r>
    </w:p>
    <w:p>
      <w:pPr>
        <w:pStyle w:val="Compact"/>
        <w:numPr>
          <w:ilvl w:val="0"/>
          <w:numId w:val="1007"/>
        </w:numPr>
      </w:pPr>
      <w:r>
        <w:t xml:space="preserve">The size and timing of potential Healthcare acquisitions.</w:t>
      </w:r>
    </w:p>
    <w:p>
      <w:pPr>
        <w:pStyle w:val="Compact"/>
        <w:numPr>
          <w:ilvl w:val="0"/>
          <w:numId w:val="1007"/>
        </w:numPr>
      </w:pPr>
      <w:r>
        <w:t xml:space="preserve">Whether management prioritizes M&amp;A over further repurchases.</w:t>
      </w:r>
    </w:p>
    <w:p>
      <w:pPr>
        <w:pStyle w:val="Compact"/>
        <w:numPr>
          <w:ilvl w:val="0"/>
          <w:numId w:val="1007"/>
        </w:numPr>
      </w:pPr>
      <w:r>
        <w:t xml:space="preserve">Updated net leverage following the Aramids proceeds.</w:t>
      </w:r>
    </w:p>
    <w:p>
      <w:pPr>
        <w:pStyle w:val="FirstParagraph"/>
      </w:pPr>
      <w:r>
        <w:t xml:space="preserve">A disciplined combination of buybacks and smaller, growth-accretive Healthcare deals would likely be received better than a large acquisition requiring meaningful leverage.</w:t>
      </w:r>
    </w:p>
    <w:bookmarkEnd w:id="22"/>
    <w:bookmarkStart w:id="23" w:name="valuation-and-setup"/>
    <w:p>
      <w:pPr>
        <w:pStyle w:val="Heading2"/>
      </w:pPr>
      <w:r>
        <w:t xml:space="preserve">Valuation and setup</w:t>
      </w:r>
    </w:p>
    <w:p>
      <w:pPr>
        <w:pStyle w:val="FirstParagraph"/>
      </w:pPr>
      <w:r>
        <w:t xml:space="preserve">DD closed at</w:t>
      </w:r>
      <w:r>
        <w:t xml:space="preserve"> </w:t>
      </w:r>
      <w:r>
        <w:rPr>
          <w:b/>
          <w:bCs/>
        </w:rPr>
        <w:t xml:space="preserve">$141.31 on August 3</w:t>
      </w:r>
      <w:r>
        <w:t xml:space="preserve">, down roughly 4% from its May 5 post-Q1 close and about 8% below its May peak. At that price, the stock trades at approximately</w:t>
      </w:r>
      <w:r>
        <w:t xml:space="preserve"> </w:t>
      </w:r>
      <w:r>
        <w:rPr>
          <w:b/>
          <w:bCs/>
        </w:rPr>
        <w:t xml:space="preserve">19.9 times</w:t>
      </w:r>
      <w:r>
        <w:t xml:space="preserve"> </w:t>
      </w:r>
      <w:r>
        <w:t xml:space="preserve">the midpoint of DuPont’s split-adjusted 2026 EPS guidance.</w:t>
      </w:r>
    </w:p>
    <w:p>
      <w:pPr>
        <w:pStyle w:val="BodyText"/>
      </w:pPr>
      <w:r>
        <w:t xml:space="preserve">That is not an obviously low multiple. It suggests the market already assigns value to DuPont’s improved portfolio, healthcare exposure, margin expansion, and capital returns. Consequently, a result merely in line with guidance may produce a muted reaction unless management also raises expectations or improves the qualitative outlook.</w:t>
      </w:r>
    </w:p>
    <w:bookmarkEnd w:id="23"/>
    <w:bookmarkStart w:id="27" w:name="earnings-day-scorecard"/>
    <w:p>
      <w:pPr>
        <w:pStyle w:val="Heading2"/>
      </w:pPr>
      <w:r>
        <w:t xml:space="preserve">Earnings-day scorecard</w:t>
      </w:r>
    </w:p>
    <w:bookmarkStart w:id="24" w:name="bullish-outcome"/>
    <w:p>
      <w:pPr>
        <w:pStyle w:val="Heading3"/>
      </w:pPr>
      <w:r>
        <w:t xml:space="preserve">Bullish outcome</w:t>
      </w:r>
    </w:p>
    <w:p>
      <w:pPr>
        <w:pStyle w:val="Compact"/>
        <w:numPr>
          <w:ilvl w:val="0"/>
          <w:numId w:val="1008"/>
        </w:numPr>
      </w:pPr>
      <w:r>
        <w:t xml:space="preserve">Revenue above approximately $1.82 billion.</w:t>
      </w:r>
    </w:p>
    <w:p>
      <w:pPr>
        <w:pStyle w:val="Compact"/>
        <w:numPr>
          <w:ilvl w:val="0"/>
          <w:numId w:val="1008"/>
        </w:numPr>
      </w:pPr>
      <w:r>
        <w:t xml:space="preserve">Adjusted EPS of at least $1.80.</w:t>
      </w:r>
    </w:p>
    <w:p>
      <w:pPr>
        <w:pStyle w:val="Compact"/>
        <w:numPr>
          <w:ilvl w:val="0"/>
          <w:numId w:val="1008"/>
        </w:numPr>
      </w:pPr>
      <w:r>
        <w:t xml:space="preserve">EBITDA above $435 million with margin near or above 24%.</w:t>
      </w:r>
    </w:p>
    <w:p>
      <w:pPr>
        <w:pStyle w:val="Compact"/>
        <w:numPr>
          <w:ilvl w:val="0"/>
          <w:numId w:val="1008"/>
        </w:numPr>
      </w:pPr>
      <w:r>
        <w:t xml:space="preserve">Healthcare and Water organic growth at least mid-single digits.</w:t>
      </w:r>
    </w:p>
    <w:p>
      <w:pPr>
        <w:pStyle w:val="Compact"/>
        <w:numPr>
          <w:ilvl w:val="0"/>
          <w:numId w:val="1008"/>
        </w:numPr>
      </w:pPr>
      <w:r>
        <w:t xml:space="preserve">Full-year guidance raised.</w:t>
      </w:r>
    </w:p>
    <w:p>
      <w:pPr>
        <w:pStyle w:val="Compact"/>
        <w:numPr>
          <w:ilvl w:val="0"/>
          <w:numId w:val="1008"/>
        </w:numPr>
      </w:pPr>
      <w:r>
        <w:t xml:space="preserve">Water projects and price-cost recovery affirmed.</w:t>
      </w:r>
    </w:p>
    <w:p>
      <w:pPr>
        <w:pStyle w:val="Compact"/>
        <w:numPr>
          <w:ilvl w:val="0"/>
          <w:numId w:val="1008"/>
        </w:numPr>
      </w:pPr>
      <w:r>
        <w:t xml:space="preserve">Additional capital return indicated.</w:t>
      </w:r>
    </w:p>
    <w:bookmarkEnd w:id="24"/>
    <w:bookmarkStart w:id="25" w:name="neutral-outcome"/>
    <w:p>
      <w:pPr>
        <w:pStyle w:val="Heading3"/>
      </w:pPr>
      <w:r>
        <w:t xml:space="preserve">Neutral outcome</w:t>
      </w:r>
    </w:p>
    <w:p>
      <w:pPr>
        <w:pStyle w:val="Compact"/>
        <w:numPr>
          <w:ilvl w:val="0"/>
          <w:numId w:val="1009"/>
        </w:numPr>
      </w:pPr>
      <w:r>
        <w:t xml:space="preserve">Revenue around $1.80 billion.</w:t>
      </w:r>
    </w:p>
    <w:p>
      <w:pPr>
        <w:pStyle w:val="Compact"/>
        <w:numPr>
          <w:ilvl w:val="0"/>
          <w:numId w:val="1009"/>
        </w:numPr>
      </w:pPr>
      <w:r>
        <w:t xml:space="preserve">EPS around</w:t>
      </w:r>
      <w:r>
        <w:t xml:space="preserve"> </w:t>
      </w:r>
      <m:oMath>
        <m:r>
          <m:t>1.75</m:t>
        </m:r>
        <m:r>
          <m:rPr>
            <m:sty m:val="p"/>
          </m:rPr>
          <m:t>–</m:t>
        </m:r>
      </m:oMath>
      <w:r>
        <w:t xml:space="preserve">1.78.</w:t>
      </w:r>
    </w:p>
    <w:p>
      <w:pPr>
        <w:pStyle w:val="Compact"/>
        <w:numPr>
          <w:ilvl w:val="0"/>
          <w:numId w:val="1009"/>
        </w:numPr>
      </w:pPr>
      <w:r>
        <w:t xml:space="preserve">EBITDA around</w:t>
      </w:r>
      <w:r>
        <w:t xml:space="preserve"> </w:t>
      </w:r>
      <m:oMath>
        <m:r>
          <m:t>425</m:t>
        </m:r>
        <m:r>
          <m:rPr>
            <m:sty m:val="p"/>
          </m:rPr>
          <m:t>–</m:t>
        </m:r>
      </m:oMath>
      <w:r>
        <w:t xml:space="preserve">435 million.</w:t>
      </w:r>
    </w:p>
    <w:p>
      <w:pPr>
        <w:pStyle w:val="Compact"/>
        <w:numPr>
          <w:ilvl w:val="0"/>
          <w:numId w:val="1009"/>
        </w:numPr>
      </w:pPr>
      <w:r>
        <w:t xml:space="preserve">Full-year guidance maintained.</w:t>
      </w:r>
    </w:p>
    <w:p>
      <w:pPr>
        <w:pStyle w:val="Compact"/>
        <w:numPr>
          <w:ilvl w:val="0"/>
          <w:numId w:val="1009"/>
        </w:numPr>
      </w:pPr>
      <w:r>
        <w:t xml:space="preserve">No material deterioration in Water, construction, or inflation.</w:t>
      </w:r>
    </w:p>
    <w:bookmarkEnd w:id="25"/>
    <w:bookmarkStart w:id="26" w:name="bearish-outcome"/>
    <w:p>
      <w:pPr>
        <w:pStyle w:val="Heading3"/>
      </w:pPr>
      <w:r>
        <w:t xml:space="preserve">Bearish outcome</w:t>
      </w:r>
    </w:p>
    <w:p>
      <w:pPr>
        <w:pStyle w:val="Compact"/>
        <w:numPr>
          <w:ilvl w:val="0"/>
          <w:numId w:val="1010"/>
        </w:numPr>
      </w:pPr>
      <w:r>
        <w:t xml:space="preserve">Organic growth below 2%.</w:t>
      </w:r>
    </w:p>
    <w:p>
      <w:pPr>
        <w:pStyle w:val="Compact"/>
        <w:numPr>
          <w:ilvl w:val="0"/>
          <w:numId w:val="1010"/>
        </w:numPr>
      </w:pPr>
      <w:r>
        <w:t xml:space="preserve">EBITDA margin below roughly 23.5%.</w:t>
      </w:r>
    </w:p>
    <w:p>
      <w:pPr>
        <w:pStyle w:val="Compact"/>
        <w:numPr>
          <w:ilvl w:val="0"/>
          <w:numId w:val="1010"/>
        </w:numPr>
      </w:pPr>
      <w:r>
        <w:t xml:space="preserve">Water project delays extend into the second half.</w:t>
      </w:r>
    </w:p>
    <w:p>
      <w:pPr>
        <w:pStyle w:val="Compact"/>
        <w:numPr>
          <w:ilvl w:val="0"/>
          <w:numId w:val="1010"/>
        </w:numPr>
      </w:pPr>
      <w:r>
        <w:t xml:space="preserve">Pricing fails to offset higher costs.</w:t>
      </w:r>
    </w:p>
    <w:p>
      <w:pPr>
        <w:pStyle w:val="Compact"/>
        <w:numPr>
          <w:ilvl w:val="0"/>
          <w:numId w:val="1010"/>
        </w:numPr>
      </w:pPr>
      <w:r>
        <w:t xml:space="preserve">Full-year guidance reduced or management becomes less confident in achieving 4% organic growth.</w:t>
      </w:r>
    </w:p>
    <w:p>
      <w:pPr>
        <w:pStyle w:val="Compact"/>
        <w:numPr>
          <w:ilvl w:val="0"/>
          <w:numId w:val="1010"/>
        </w:numPr>
      </w:pPr>
      <w:r>
        <w:t xml:space="preserve">Cash conversion expectations weaken.</w:t>
      </w:r>
    </w:p>
    <w:bookmarkEnd w:id="26"/>
    <w:bookmarkEnd w:id="27"/>
    <w:bookmarkStart w:id="28" w:name="bottom-line"/>
    <w:p>
      <w:pPr>
        <w:pStyle w:val="Heading2"/>
      </w:pPr>
      <w:r>
        <w:t xml:space="preserve">Bottom line</w:t>
      </w:r>
    </w:p>
    <w:p>
      <w:pPr>
        <w:pStyle w:val="FirstParagraph"/>
      </w:pPr>
      <w:r>
        <w:rPr>
          <w:b/>
          <w:bCs/>
        </w:rPr>
        <w:t xml:space="preserve">The Q2 numbers themselves have a relatively narrow expectation range. The more important issue is whether DuPont can prove that its second-half plan remains intact.</w:t>
      </w:r>
    </w:p>
    <w:p>
      <w:pPr>
        <w:pStyle w:val="BodyText"/>
      </w:pPr>
      <w:r>
        <w:t xml:space="preserve">The strongest report would combine continued Healthcare momentum, a Water rebound, controlled price-cost pressure, and a modest guidance increase. Conversely, if Water recovery slips or margins weaken despite the announced pricing actions, investors may question whether the approximately 20x earnings valuation already discounts too much of DuPont’s post-separation improvement.</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s23.q4cdn.com/116192123/files/doc_events/2026/May/05/DuPont-1Q-2026-Earnings-Call-Transcript.pdf" TargetMode="External" /><Relationship Type="http://schemas.openxmlformats.org/officeDocument/2006/relationships/hyperlink" Id="rId9" Target="https://www.dupont.com/news/dupont-schedules-second-quarter-2026-earnings-conference-call.html?utm_source=openai" TargetMode="External" /><Relationship Type="http://schemas.openxmlformats.org/officeDocument/2006/relationships/hyperlink" Id="rId12" Target="https://www.investors.dupont.com/news-and-media/press-release-details/2026/DuPont-Announces-Reverse-Stock-Split-and-Reaffirms-2026-Financial-Guidance/default.aspx?utm_source=openai" TargetMode="External" /><Relationship Type="http://schemas.openxmlformats.org/officeDocument/2006/relationships/hyperlink" Id="rId10" Target="https://www.investors.dupont.com/news-and-media/press-release-details/2026/DuPont-Reports-First-Quarter-2026-Results/default.aspx?utm_source=openai" TargetMode="External" /><Relationship Type="http://schemas.openxmlformats.org/officeDocument/2006/relationships/hyperlink" Id="rId13" Target="https://www.tipranks.com/stocks/dd/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s23.q4cdn.com/116192123/files/doc_events/2026/May/05/DuPont-1Q-2026-Earnings-Call-Transcript.pdf" TargetMode="External" /><Relationship Type="http://schemas.openxmlformats.org/officeDocument/2006/relationships/hyperlink" Id="rId9" Target="https://www.dupont.com/news/dupont-schedules-second-quarter-2026-earnings-conference-call.html?utm_source=openai" TargetMode="External" /><Relationship Type="http://schemas.openxmlformats.org/officeDocument/2006/relationships/hyperlink" Id="rId12" Target="https://www.investors.dupont.com/news-and-media/press-release-details/2026/DuPont-Announces-Reverse-Stock-Split-and-Reaffirms-2026-Financial-Guidance/default.aspx?utm_source=openai" TargetMode="External" /><Relationship Type="http://schemas.openxmlformats.org/officeDocument/2006/relationships/hyperlink" Id="rId10" Target="https://www.investors.dupont.com/news-and-media/press-release-details/2026/DuPont-Reports-First-Quarter-2026-Results/default.aspx?utm_source=openai" TargetMode="External" /><Relationship Type="http://schemas.openxmlformats.org/officeDocument/2006/relationships/hyperlink" Id="rId13" Target="https://www.tipranks.com/stocks/dd/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2026-08-04T00:12:31Z</dcterms:created>
  <dcterms:modified xsi:type="dcterms:W3CDTF">2026-08-04T00:12:31Z</dcterms:modified>
</cp:coreProperties>
</file>

<file path=docProps/custom.xml><?xml version="1.0" encoding="utf-8"?>
<Properties xmlns="http://schemas.openxmlformats.org/officeDocument/2006/custom-properties" xmlns:vt="http://schemas.openxmlformats.org/officeDocument/2006/docPropsVTypes"/>
</file>