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dupont-nyse-dd--2q26-earnings-preview"/>
    <w:p>
      <w:pPr>
        <w:pStyle w:val="Heading1"/>
      </w:pPr>
      <w:r>
        <w:t xml:space="preserve">DuPont (NYSE: DD) — 2Q26 Earnings Preview</w:t>
      </w:r>
    </w:p>
    <w:p>
      <w:pPr>
        <w:pStyle w:val="BlockText"/>
      </w:pPr>
      <w:r>
        <w:rPr>
          <w:b/>
          <w:bCs/>
        </w:rPr>
        <w:t xml:space="preserve">Timing note:</w:t>
      </w:r>
      <w:r>
        <w:t xml:space="preserve"> </w:t>
      </w:r>
      <w:r>
        <w:t xml:space="preserve">The event date provided—</w:t>
      </w:r>
      <w:r>
        <w:rPr>
          <w:b/>
          <w:bCs/>
        </w:rPr>
        <w:t xml:space="preserve">August 4, 2026</w:t>
      </w:r>
      <w:r>
        <w:t xml:space="preserve">—is</w:t>
      </w:r>
      <w:r>
        <w:t xml:space="preserve"> </w:t>
      </w:r>
      <w:r>
        <w:rPr>
          <w:b/>
          <w:bCs/>
        </w:rPr>
        <w:t xml:space="preserve">today</w:t>
      </w:r>
      <w:r>
        <w:t xml:space="preserve">, not tomorrow. This is therefore a pre-results preview assuming DuPont has not yet released results.</w:t>
      </w:r>
    </w:p>
    <w:bookmarkStart w:id="9" w:name="X788fa25bf63a0e59b9818c53616400d2dcf5c74"/>
    <w:p>
      <w:pPr>
        <w:pStyle w:val="Heading2"/>
      </w:pPr>
      <w:r>
        <w:t xml:space="preserve">Investment view: execution against a raised guide is the central issue</w:t>
      </w:r>
    </w:p>
    <w:p>
      <w:pPr>
        <w:pStyle w:val="FirstParagraph"/>
      </w:pPr>
      <w:r>
        <w:t xml:space="preserve">DuPont enters 2Q with a relatively clear setup: management delivered a better-than-guided 1Q,</w:t>
      </w:r>
      <w:r>
        <w:t xml:space="preserve"> </w:t>
      </w:r>
      <w:r>
        <w:rPr>
          <w:b/>
          <w:bCs/>
        </w:rPr>
        <w:t xml:space="preserve">raised 2026 guidance</w:t>
      </w:r>
      <w:r>
        <w:t xml:space="preserve">, and set a specific 2Q framework. The key question is less whether DD can meet its prior 2Q numbers than whether it can demonstrate that the drivers behind the 1Q beat—healthcare growth, mix, productivity, and price realization—remain durable despite softer construction markets and a still-complicated supply-chain/logistics backdrop.</w:t>
      </w:r>
    </w:p>
    <w:p>
      <w:pPr>
        <w:pStyle w:val="BodyText"/>
      </w:pPr>
      <w:r>
        <w:t xml:space="preserve">The bar set by management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company guide</w:t>
            </w:r>
          </w:p>
        </w:tc>
        <w:tc>
          <w:tcPr/>
          <w:p>
            <w:pPr>
              <w:pStyle w:val="Compact"/>
              <w:jc w:val="right"/>
            </w:pPr>
            <w:r>
              <w:t xml:space="preserve">1Q26 actual</w:t>
            </w:r>
          </w:p>
        </w:tc>
      </w:tr>
      <w:tr>
        <w:tc>
          <w:tcPr/>
          <w:p>
            <w:pPr>
              <w:pStyle w:val="Compact"/>
            </w:pPr>
            <w:r>
              <w:t xml:space="preserve">Net sales</w:t>
            </w:r>
          </w:p>
        </w:tc>
        <w:tc>
          <w:tcPr/>
          <w:p>
            <w:pPr>
              <w:pStyle w:val="Compact"/>
              <w:jc w:val="right"/>
            </w:pPr>
            <w:r>
              <w:rPr>
                <w:b/>
                <w:bCs/>
              </w:rPr>
              <w:t xml:space="preserve">~$1.80B</w:t>
            </w:r>
          </w:p>
        </w:tc>
        <w:tc>
          <w:tcPr/>
          <w:p>
            <w:pPr>
              <w:pStyle w:val="Compact"/>
              <w:jc w:val="right"/>
            </w:pPr>
            <w:r>
              <w:t xml:space="preserve">$1.681B</w:t>
            </w:r>
          </w:p>
        </w:tc>
      </w:tr>
      <w:tr>
        <w:tc>
          <w:tcPr/>
          <w:p>
            <w:pPr>
              <w:pStyle w:val="Compact"/>
            </w:pPr>
            <w:r>
              <w:t xml:space="preserve">Organic growth</w:t>
            </w:r>
          </w:p>
        </w:tc>
        <w:tc>
          <w:tcPr/>
          <w:p>
            <w:pPr>
              <w:pStyle w:val="Compact"/>
              <w:jc w:val="right"/>
            </w:pPr>
            <w:r>
              <w:rPr>
                <w:b/>
                <w:bCs/>
              </w:rPr>
              <w:t xml:space="preserve">~3%</w:t>
            </w:r>
          </w:p>
        </w:tc>
        <w:tc>
          <w:tcPr/>
          <w:p>
            <w:pPr>
              <w:pStyle w:val="Compact"/>
              <w:jc w:val="right"/>
            </w:pPr>
            <w:r>
              <w:t xml:space="preserve">2%</w:t>
            </w:r>
          </w:p>
        </w:tc>
      </w:tr>
      <w:tr>
        <w:tc>
          <w:tcPr/>
          <w:p>
            <w:pPr>
              <w:pStyle w:val="Compact"/>
            </w:pPr>
            <w:r>
              <w:t xml:space="preserve">Operating EBITDA</w:t>
            </w:r>
          </w:p>
        </w:tc>
        <w:tc>
          <w:tcPr/>
          <w:p>
            <w:pPr>
              <w:pStyle w:val="Compact"/>
              <w:jc w:val="right"/>
            </w:pPr>
            <w:r>
              <w:rPr>
                <w:b/>
                <w:bCs/>
              </w:rPr>
              <w:t xml:space="preserve">~$430M</w:t>
            </w:r>
          </w:p>
        </w:tc>
        <w:tc>
          <w:tcPr/>
          <w:p>
            <w:pPr>
              <w:pStyle w:val="Compact"/>
              <w:jc w:val="right"/>
            </w:pPr>
            <w:r>
              <w:t xml:space="preserve">$414M</w:t>
            </w:r>
          </w:p>
        </w:tc>
      </w:tr>
      <w:tr>
        <w:tc>
          <w:tcPr/>
          <w:p>
            <w:pPr>
              <w:pStyle w:val="Compact"/>
            </w:pPr>
            <w:r>
              <w:t xml:space="preserve">Operating EBITDA margin</w:t>
            </w:r>
          </w:p>
        </w:tc>
        <w:tc>
          <w:tcPr/>
          <w:p>
            <w:pPr>
              <w:pStyle w:val="Compact"/>
              <w:jc w:val="right"/>
            </w:pPr>
            <w:r>
              <w:rPr>
                <w:b/>
                <w:bCs/>
              </w:rPr>
              <w:t xml:space="preserve">~23.9%</w:t>
            </w:r>
          </w:p>
        </w:tc>
        <w:tc>
          <w:tcPr/>
          <w:p>
            <w:pPr>
              <w:pStyle w:val="Compact"/>
              <w:jc w:val="right"/>
            </w:pPr>
            <w:r>
              <w:t xml:space="preserve">24.6%</w:t>
            </w:r>
          </w:p>
        </w:tc>
      </w:tr>
      <w:tr>
        <w:tc>
          <w:tcPr/>
          <w:p>
            <w:pPr>
              <w:pStyle w:val="Compact"/>
            </w:pPr>
            <w:r>
              <w:t xml:space="preserve">Adjusted EPS*</w:t>
            </w:r>
          </w:p>
        </w:tc>
        <w:tc>
          <w:tcPr/>
          <w:p>
            <w:pPr>
              <w:pStyle w:val="Compact"/>
              <w:jc w:val="right"/>
            </w:pPr>
            <w:r>
              <w:rPr>
                <w:b/>
                <w:bCs/>
              </w:rPr>
              <w:t xml:space="preserve">~$1.77</w:t>
            </w:r>
          </w:p>
        </w:tc>
        <w:tc>
          <w:tcPr/>
          <w:p>
            <w:pPr>
              <w:pStyle w:val="Compact"/>
              <w:jc w:val="right"/>
            </w:pPr>
            <w:r>
              <w:t xml:space="preserve">~$1.65</w:t>
            </w:r>
          </w:p>
        </w:tc>
      </w:tr>
    </w:tbl>
    <w:p>
      <w:pPr>
        <w:pStyle w:val="BodyText"/>
      </w:pPr>
      <w:r>
        <w:t xml:space="preserve">*DuPont’s May guidance was stated before the June 24</w:t>
      </w:r>
      <w:r>
        <w:t xml:space="preserve"> </w:t>
      </w:r>
      <w:r>
        <w:rPr>
          <w:b/>
          <w:bCs/>
        </w:rPr>
        <w:t xml:space="preserve">1-for-3 reverse stock split</w:t>
      </w:r>
      <w:r>
        <w:t xml:space="preserve">. Accordingly, the originally guided 2Q adjusted EPS of</w:t>
      </w:r>
      <w:r>
        <w:t xml:space="preserve"> </w:t>
      </w:r>
      <m:oMath>
        <m:r>
          <m:t>0.59</m:t>
        </m:r>
        <m:r>
          <m:t>e</m:t>
        </m:r>
        <m:r>
          <m:t>q</m:t>
        </m:r>
        <m:r>
          <m:t>u</m:t>
        </m:r>
        <m:r>
          <m:t>a</m:t>
        </m:r>
        <m:r>
          <m:t>t</m:t>
        </m:r>
        <m:r>
          <m:t>e</m:t>
        </m:r>
        <m:r>
          <m:t>s</m:t>
        </m:r>
        <m:r>
          <m:t>t</m:t>
        </m:r>
        <m:r>
          <m:t>o</m:t>
        </m:r>
        <m:r>
          <m:t>a</m:t>
        </m:r>
        <m:r>
          <m:t>b</m:t>
        </m:r>
        <m:r>
          <m:t>o</m:t>
        </m:r>
        <m:r>
          <m:t>u</m:t>
        </m:r>
        <m:r>
          <m:t>t</m:t>
        </m:r>
        <m:r>
          <m:rPr>
            <m:sty m:val="p"/>
          </m:rPr>
          <m:t>*</m:t>
        </m:r>
        <m:r>
          <m:rPr>
            <m:sty m:val="p"/>
          </m:rPr>
          <m:t>*</m:t>
        </m:r>
      </m:oMath>
      <w:r>
        <w:t xml:space="preserve">1.77 on the post-split basis**; its prior</w:t>
      </w:r>
      <w:r>
        <w:t xml:space="preserve"> </w:t>
      </w:r>
      <m:oMath>
        <m:r>
          <m:t>2.35</m:t>
        </m:r>
        <m:r>
          <m:rPr>
            <m:sty m:val="p"/>
          </m:rPr>
          <m:t>–</m:t>
        </m:r>
      </m:oMath>
      <w:r>
        <w:t xml:space="preserve">2.40 full-year adjusted-EPS range equates to approximately</w:t>
      </w:r>
      <w:r>
        <w:t xml:space="preserve"> </w:t>
      </w:r>
      <m:oMath>
        <m:r>
          <m:t>7.05</m:t>
        </m:r>
        <m:r>
          <m:rPr>
            <m:sty m:val="p"/>
          </m:rPr>
          <m:t>–</m:t>
        </m:r>
      </m:oMath>
      <w:r>
        <w:rPr>
          <w:b/>
          <w:bCs/>
        </w:rPr>
        <w:t xml:space="preserve">7.20</w:t>
      </w:r>
      <w:r>
        <w:t xml:space="preserve"> </w:t>
      </w:r>
      <w:r>
        <w:t xml:space="preserve">per post-split share.</w:t>
      </w:r>
    </w:p>
    <w:bookmarkEnd w:id="9"/>
    <w:bookmarkStart w:id="14" w:name="what-matters-most-in-the-print"/>
    <w:p>
      <w:pPr>
        <w:pStyle w:val="Heading2"/>
      </w:pPr>
      <w:r>
        <w:t xml:space="preserve">What matters most in the print</w:t>
      </w:r>
    </w:p>
    <w:bookmarkStart w:id="10" w:name="Xff3bfc720cc3d89b283ff9f04cd902860bbac75"/>
    <w:p>
      <w:pPr>
        <w:pStyle w:val="Heading3"/>
      </w:pPr>
      <w:r>
        <w:t xml:space="preserve">1. Healthcare &amp; Water: growth quality and Water’s recovery</w:t>
      </w:r>
    </w:p>
    <w:p>
      <w:pPr>
        <w:pStyle w:val="FirstParagraph"/>
      </w:pPr>
      <w:r>
        <w:t xml:space="preserve">Healthcare &amp; Water Technologies is DD’s highest-margin segment and the clearest source of above-market growth. In 1Q, segment organic sales grew 3%, with healthcare up high single digits organically, led by medical packaging and biopharma. Segment EBITDA margin expanded 110 bps to</w:t>
      </w:r>
      <w:r>
        <w:t xml:space="preserve"> </w:t>
      </w:r>
      <w:r>
        <w:rPr>
          <w:b/>
          <w:bCs/>
        </w:rPr>
        <w:t xml:space="preserve">30.3%</w:t>
      </w:r>
      <w:r>
        <w:t xml:space="preserve">.</w:t>
      </w:r>
    </w:p>
    <w:p>
      <w:pPr>
        <w:pStyle w:val="BodyText"/>
      </w:pPr>
      <w:r>
        <w:t xml:space="preserve">For 2Q, management guided segment organic growth to the</w:t>
      </w:r>
      <w:r>
        <w:t xml:space="preserve"> </w:t>
      </w:r>
      <w:r>
        <w:rPr>
          <w:b/>
          <w:bCs/>
        </w:rPr>
        <w:t xml:space="preserve">mid-single digits</w:t>
      </w:r>
      <w:r>
        <w:t xml:space="preserve">, supported by medical-device, biopharma, and industrial-water demand. Investors should focus on whether:</w:t>
      </w:r>
    </w:p>
    <w:p>
      <w:pPr>
        <w:pStyle w:val="Compact"/>
        <w:numPr>
          <w:ilvl w:val="0"/>
          <w:numId w:val="1001"/>
        </w:numPr>
      </w:pPr>
      <w:r>
        <w:rPr>
          <w:b/>
          <w:bCs/>
        </w:rPr>
        <w:t xml:space="preserve">Healthcare</w:t>
      </w:r>
      <w:r>
        <w:t xml:space="preserve"> </w:t>
      </w:r>
      <w:r>
        <w:t xml:space="preserve">sustains its high-quality growth trajectory, particularly in Tyvek medical packaging, Spectrum’s medical-device exposure, and Liveo/biopharma.</w:t>
      </w:r>
    </w:p>
    <w:p>
      <w:pPr>
        <w:pStyle w:val="Compact"/>
        <w:numPr>
          <w:ilvl w:val="0"/>
          <w:numId w:val="1001"/>
        </w:numPr>
      </w:pPr>
      <w:r>
        <w:rPr>
          <w:b/>
          <w:bCs/>
        </w:rPr>
        <w:t xml:space="preserve">Water</w:t>
      </w:r>
      <w:r>
        <w:t xml:space="preserve"> </w:t>
      </w:r>
      <w:r>
        <w:t xml:space="preserve">rebounds as expected. Water was down low-to-mid single digits organically in 1Q, partly because roughly</w:t>
      </w:r>
      <w:r>
        <w:t xml:space="preserve"> </w:t>
      </w:r>
      <w:r>
        <w:rPr>
          <w:b/>
          <w:bCs/>
        </w:rPr>
        <w:t xml:space="preserve">$10M of product could not ship from the Middle East</w:t>
      </w:r>
      <w:r>
        <w:t xml:space="preserve">; management said those materials shipped in April.</w:t>
      </w:r>
    </w:p>
    <w:p>
      <w:pPr>
        <w:pStyle w:val="Compact"/>
        <w:numPr>
          <w:ilvl w:val="0"/>
          <w:numId w:val="1001"/>
        </w:numPr>
      </w:pPr>
      <w:r>
        <w:t xml:space="preserve">Large Water-project timing remains intact. Management expects Water to be roughly flat in 1H but up high single digits in 2H, leaving 2Q commentary on order conversion, desalination projects, and Middle East operations particularly important.</w:t>
      </w:r>
    </w:p>
    <w:p>
      <w:pPr>
        <w:pStyle w:val="FirstParagraph"/>
      </w:pPr>
      <w:r>
        <w:rPr>
          <w:b/>
          <w:bCs/>
        </w:rPr>
        <w:t xml:space="preserve">Read-through:</w:t>
      </w:r>
      <w:r>
        <w:t xml:space="preserve"> </w:t>
      </w:r>
      <w:r>
        <w:t xml:space="preserve">A clean Water recovery and continued healthcare strength would reinforce the view that 2026 organic growth is driven by end-market demand rather than merely price and FX.</w:t>
      </w:r>
    </w:p>
    <w:bookmarkEnd w:id="10"/>
    <w:bookmarkStart w:id="11" w:name="X82e6b55bf28d789eef54b6a5c86debe3a6cc7e4"/>
    <w:p>
      <w:pPr>
        <w:pStyle w:val="Heading3"/>
      </w:pPr>
      <w:r>
        <w:t xml:space="preserve">2. Diversified Industrials: can aerospace and automotive outweigh construction?</w:t>
      </w:r>
    </w:p>
    <w:p>
      <w:pPr>
        <w:pStyle w:val="FirstParagraph"/>
      </w:pPr>
      <w:r>
        <w:t xml:space="preserve">Diversified Industrials was approximately flat organically in 1Q. The segment’s margin still expanded 110 bps to</w:t>
      </w:r>
      <w:r>
        <w:t xml:space="preserve"> </w:t>
      </w:r>
      <w:r>
        <w:rPr>
          <w:b/>
          <w:bCs/>
        </w:rPr>
        <w:t xml:space="preserve">22.9%</w:t>
      </w:r>
      <w:r>
        <w:t xml:space="preserve">, reflecting favorable mix and productivity.</w:t>
      </w:r>
    </w:p>
    <w:p>
      <w:pPr>
        <w:pStyle w:val="BodyText"/>
      </w:pPr>
      <w:r>
        <w:t xml:space="preserve">Management’s 2Q outlook calls for</w:t>
      </w:r>
      <w:r>
        <w:t xml:space="preserve"> </w:t>
      </w:r>
      <w:r>
        <w:rPr>
          <w:b/>
          <w:bCs/>
        </w:rPr>
        <w:t xml:space="preserve">low-single-digit organic growth</w:t>
      </w:r>
      <w:r>
        <w:t xml:space="preserve">, with:</w:t>
      </w:r>
    </w:p>
    <w:p>
      <w:pPr>
        <w:pStyle w:val="Compact"/>
        <w:numPr>
          <w:ilvl w:val="0"/>
          <w:numId w:val="1002"/>
        </w:numPr>
      </w:pPr>
      <w:r>
        <w:rPr>
          <w:b/>
          <w:bCs/>
        </w:rPr>
        <w:t xml:space="preserve">Aerospace</w:t>
      </w:r>
      <w:r>
        <w:t xml:space="preserve"> </w:t>
      </w:r>
      <w:r>
        <w:t xml:space="preserve">remaining a core positive;</w:t>
      </w:r>
    </w:p>
    <w:p>
      <w:pPr>
        <w:pStyle w:val="Compact"/>
        <w:numPr>
          <w:ilvl w:val="0"/>
          <w:numId w:val="1002"/>
        </w:numPr>
      </w:pPr>
      <w:r>
        <w:t xml:space="preserve">Automotive growth supported by battery-adhesive wins and other EV-related applications;</w:t>
      </w:r>
    </w:p>
    <w:p>
      <w:pPr>
        <w:pStyle w:val="Compact"/>
        <w:numPr>
          <w:ilvl w:val="0"/>
          <w:numId w:val="1002"/>
        </w:numPr>
      </w:pPr>
      <w:r>
        <w:t xml:space="preserve">Printing and packaging improving from a weak 1Q comparison; and</w:t>
      </w:r>
    </w:p>
    <w:p>
      <w:pPr>
        <w:pStyle w:val="Compact"/>
        <w:numPr>
          <w:ilvl w:val="0"/>
          <w:numId w:val="1002"/>
        </w:numPr>
      </w:pPr>
      <w:r>
        <w:rPr>
          <w:b/>
          <w:bCs/>
        </w:rPr>
        <w:t xml:space="preserve">Construction remaining a drag</w:t>
      </w:r>
      <w:r>
        <w:t xml:space="preserve">, particularly North American residential construction and related Building Technologies demand.</w:t>
      </w:r>
    </w:p>
    <w:p>
      <w:pPr>
        <w:pStyle w:val="FirstParagraph"/>
      </w:pPr>
      <w:r>
        <w:t xml:space="preserve">The notable earnings debate is whether DD can keep generating margin expansion while its construction-exposed businesses remain soft. A low-single-digit organic-growth result in Diversified Industrials accompanied by further margin expansion would be constructive, because it would validate the ongoing 80/20 and productivity work rather than relying solely on volume growth.</w:t>
      </w:r>
    </w:p>
    <w:bookmarkEnd w:id="11"/>
    <w:bookmarkStart w:id="12" w:name="Xf19621af9cd67b0cb083196fad18a1d3281447b"/>
    <w:p>
      <w:pPr>
        <w:pStyle w:val="Heading3"/>
      </w:pPr>
      <w:r>
        <w:t xml:space="preserve">3. Price-cost: a near-term margin headwind that management expects to manage</w:t>
      </w:r>
    </w:p>
    <w:p>
      <w:pPr>
        <w:pStyle w:val="FirstParagraph"/>
      </w:pPr>
      <w:r>
        <w:t xml:space="preserve">Management raised full-year guidance in May partly because it expected to offset about</w:t>
      </w:r>
      <w:r>
        <w:t xml:space="preserve"> </w:t>
      </w:r>
      <m:oMath>
        <m:r>
          <m:t>90</m:t>
        </m:r>
        <m:r>
          <m:t>M</m:t>
        </m:r>
        <m:r>
          <m:t>o</m:t>
        </m:r>
        <m:r>
          <m:t>f</m:t>
        </m:r>
        <m:r>
          <m:t>i</m:t>
        </m:r>
        <m:r>
          <m:t>n</m:t>
        </m:r>
        <m:r>
          <m:t>c</m:t>
        </m:r>
        <m:r>
          <m:t>r</m:t>
        </m:r>
        <m:r>
          <m:t>e</m:t>
        </m:r>
        <m:r>
          <m:t>m</m:t>
        </m:r>
        <m:r>
          <m:t>e</m:t>
        </m:r>
        <m:r>
          <m:t>n</m:t>
        </m:r>
        <m:r>
          <m:t>t</m:t>
        </m:r>
        <m:r>
          <m:t>a</m:t>
        </m:r>
        <m:r>
          <m:t>l</m:t>
        </m:r>
        <m:r>
          <m:t>i</m:t>
        </m:r>
        <m:r>
          <m:t>n</m:t>
        </m:r>
        <m:r>
          <m:t>p</m:t>
        </m:r>
        <m:r>
          <m:t>u</m:t>
        </m:r>
        <m:r>
          <m:t>t</m:t>
        </m:r>
        <m:r>
          <m:t>c</m:t>
        </m:r>
        <m:r>
          <m:t>o</m:t>
        </m:r>
        <m:r>
          <m:t>s</m:t>
        </m:r>
        <m:r>
          <m:t>t</m:t>
        </m:r>
        <m:r>
          <m:t>s</m:t>
        </m:r>
        <m:r>
          <m:rPr>
            <m:sty m:val="p"/>
          </m:rPr>
          <m:t>*</m:t>
        </m:r>
        <m:r>
          <m:rPr>
            <m:sty m:val="p"/>
          </m:rPr>
          <m:t>*</m:t>
        </m:r>
        <m:r>
          <m:t>a</m:t>
        </m:r>
        <m:r>
          <m:t>s</m:t>
        </m:r>
        <m:r>
          <m:t>s</m:t>
        </m:r>
        <m:r>
          <m:t>o</m:t>
        </m:r>
        <m:r>
          <m:t>c</m:t>
        </m:r>
        <m:r>
          <m:t>i</m:t>
        </m:r>
        <m:r>
          <m:t>a</m:t>
        </m:r>
        <m:r>
          <m:t>t</m:t>
        </m:r>
        <m:r>
          <m:t>e</m:t>
        </m:r>
        <m:r>
          <m:t>d</m:t>
        </m:r>
        <m:r>
          <m:t>w</m:t>
        </m:r>
        <m:r>
          <m:t>i</m:t>
        </m:r>
        <m:r>
          <m:t>t</m:t>
        </m:r>
        <m:r>
          <m:t>h</m:t>
        </m:r>
        <m:r>
          <m:t>t</m:t>
        </m:r>
        <m:r>
          <m:t>h</m:t>
        </m:r>
        <m:r>
          <m:t>e</m:t>
        </m:r>
        <m:r>
          <m:t>M</m:t>
        </m:r>
        <m:r>
          <m:t>i</m:t>
        </m:r>
        <m:r>
          <m:t>d</m:t>
        </m:r>
        <m:r>
          <m:t>d</m:t>
        </m:r>
        <m:r>
          <m:t>l</m:t>
        </m:r>
        <m:r>
          <m:t>e</m:t>
        </m:r>
        <m:r>
          <m:t>E</m:t>
        </m:r>
        <m:r>
          <m:t>a</m:t>
        </m:r>
        <m:r>
          <m:t>s</m:t>
        </m:r>
        <m:r>
          <m:t>t</m:t>
        </m:r>
        <m:r>
          <m:t>c</m:t>
        </m:r>
        <m:r>
          <m:t>o</m:t>
        </m:r>
        <m:r>
          <m:t>n</m:t>
        </m:r>
        <m:r>
          <m:t>f</m:t>
        </m:r>
        <m:r>
          <m:t>l</m:t>
        </m:r>
        <m:r>
          <m:t>i</m:t>
        </m:r>
        <m:r>
          <m:t>c</m:t>
        </m:r>
        <m:r>
          <m:t>t</m:t>
        </m:r>
        <m:r>
          <m:t>t</m:t>
        </m:r>
        <m:r>
          <m:t>h</m:t>
        </m:r>
        <m:r>
          <m:t>r</m:t>
        </m:r>
        <m:r>
          <m:t>o</m:t>
        </m:r>
        <m:r>
          <m:t>u</m:t>
        </m:r>
        <m:r>
          <m:t>g</m:t>
        </m:r>
        <m:r>
          <m:t>h</m:t>
        </m:r>
        <m:r>
          <m:t>p</m:t>
        </m:r>
        <m:r>
          <m:t>r</m:t>
        </m:r>
        <m:r>
          <m:t>i</m:t>
        </m:r>
        <m:r>
          <m:t>c</m:t>
        </m:r>
        <m:r>
          <m:t>i</m:t>
        </m:r>
        <m:r>
          <m:t>n</m:t>
        </m:r>
        <m:r>
          <m:t>g</m:t>
        </m:r>
        <m:r>
          <m:t>a</m:t>
        </m:r>
        <m:r>
          <m:t>n</m:t>
        </m:r>
        <m:r>
          <m:t>d</m:t>
        </m:r>
        <m:r>
          <m:t>s</m:t>
        </m:r>
        <m:r>
          <m:t>u</m:t>
        </m:r>
        <m:r>
          <m:t>r</m:t>
        </m:r>
        <m:r>
          <m:t>c</m:t>
        </m:r>
        <m:r>
          <m:t>h</m:t>
        </m:r>
        <m:r>
          <m:t>a</m:t>
        </m:r>
        <m:r>
          <m:t>r</m:t>
        </m:r>
        <m:r>
          <m:t>g</m:t>
        </m:r>
        <m:r>
          <m:t>e</m:t>
        </m:r>
        <m:r>
          <m:t>s</m:t>
        </m:r>
        <m:r>
          <m:rPr>
            <m:sty m:val="p"/>
          </m:rPr>
          <m:t>.</m:t>
        </m:r>
        <m:r>
          <m:t>I</m:t>
        </m:r>
        <m:r>
          <m:t>t</m:t>
        </m:r>
        <m:r>
          <m:t>i</m:t>
        </m:r>
        <m:r>
          <m:t>n</m:t>
        </m:r>
        <m:r>
          <m:t>d</m:t>
        </m:r>
        <m:r>
          <m:t>i</m:t>
        </m:r>
        <m:r>
          <m:t>c</m:t>
        </m:r>
        <m:r>
          <m:t>a</m:t>
        </m:r>
        <m:r>
          <m:t>t</m:t>
        </m:r>
        <m:r>
          <m:t>e</m:t>
        </m:r>
        <m:r>
          <m:t>d</m:t>
        </m:r>
        <m:r>
          <m:t>t</m:t>
        </m:r>
        <m:r>
          <m:t>h</m:t>
        </m:r>
        <m:r>
          <m:t>a</m:t>
        </m:r>
        <m:r>
          <m:t>t</m:t>
        </m:r>
        <m:r>
          <m:t>r</m:t>
        </m:r>
        <m:r>
          <m:t>o</m:t>
        </m:r>
        <m:r>
          <m:t>u</m:t>
        </m:r>
        <m:r>
          <m:t>g</m:t>
        </m:r>
        <m:r>
          <m:t>h</m:t>
        </m:r>
        <m:r>
          <m:t>l</m:t>
        </m:r>
        <m:r>
          <m:t>y</m:t>
        </m:r>
        <m:r>
          <m:rPr>
            <m:sty m:val="p"/>
          </m:rPr>
          <m:t>*</m:t>
        </m:r>
        <m:r>
          <m:rPr>
            <m:sty m:val="p"/>
          </m:rPr>
          <m:t>*</m:t>
        </m:r>
      </m:oMath>
      <w:r>
        <w:rPr>
          <w:b/>
          <w:bCs/>
        </w:rPr>
        <w:t xml:space="preserve">25M of price</w:t>
      </w:r>
      <w:r>
        <w:t xml:space="preserve"> </w:t>
      </w:r>
      <w:r>
        <w:t xml:space="preserve">would occur in 2Q, with fuller price realization in the second half.</w:t>
      </w:r>
    </w:p>
    <w:p>
      <w:pPr>
        <w:pStyle w:val="BodyText"/>
      </w:pPr>
      <w:r>
        <w:t xml:space="preserve">Importantly, management explicitly anticipated a sequential 2Q margin decline versus 1Q from:</w:t>
      </w:r>
    </w:p>
    <w:p>
      <w:pPr>
        <w:pStyle w:val="Compact"/>
        <w:numPr>
          <w:ilvl w:val="0"/>
          <w:numId w:val="1003"/>
        </w:numPr>
      </w:pPr>
      <w:r>
        <w:t xml:space="preserve">roughly</w:t>
      </w:r>
      <w:r>
        <w:t xml:space="preserve"> </w:t>
      </w:r>
      <w:r>
        <w:rPr>
          <w:b/>
          <w:bCs/>
        </w:rPr>
        <w:t xml:space="preserve">30 bps</w:t>
      </w:r>
      <w:r>
        <w:t xml:space="preserve"> </w:t>
      </w:r>
      <w:r>
        <w:t xml:space="preserve">of price-cost timing pressure; and</w:t>
      </w:r>
    </w:p>
    <w:p>
      <w:pPr>
        <w:pStyle w:val="Compact"/>
        <w:numPr>
          <w:ilvl w:val="0"/>
          <w:numId w:val="1003"/>
        </w:numPr>
      </w:pPr>
      <w:r>
        <w:t xml:space="preserve">roughly</w:t>
      </w:r>
      <w:r>
        <w:t xml:space="preserve"> </w:t>
      </w:r>
      <w:r>
        <w:rPr>
          <w:b/>
          <w:bCs/>
        </w:rPr>
        <w:t xml:space="preserve">40 bps</w:t>
      </w:r>
      <w:r>
        <w:t xml:space="preserve"> </w:t>
      </w:r>
      <w:r>
        <w:t xml:space="preserve">of unfavorable mix.</w:t>
      </w:r>
    </w:p>
    <w:p>
      <w:pPr>
        <w:pStyle w:val="FirstParagraph"/>
      </w:pPr>
      <w:r>
        <w:t xml:space="preserve">That is consistent with the ~23.9% implied 2Q EBITDA margin versus 24.6% in 1Q. Thus, a modest sequential margin decline should not itself be viewed negatively. The more meaningful question is whether price capture, input costs, and mix perform</w:t>
      </w:r>
      <w:r>
        <w:t xml:space="preserve"> </w:t>
      </w:r>
      <w:r>
        <w:rPr>
          <w:b/>
          <w:bCs/>
        </w:rPr>
        <w:t xml:space="preserve">better or worse than that known bridge</w:t>
      </w:r>
      <w:r>
        <w:t xml:space="preserve">.</w:t>
      </w:r>
    </w:p>
    <w:p>
      <w:pPr>
        <w:pStyle w:val="BodyText"/>
      </w:pPr>
      <w:r>
        <w:rPr>
          <w:b/>
          <w:bCs/>
        </w:rPr>
        <w:t xml:space="preserve">Bullish outcome:</w:t>
      </w:r>
      <w:r>
        <w:t xml:space="preserve"> </w:t>
      </w:r>
      <w:r>
        <w:t xml:space="preserve">price realization ramps faster than expected, costs ease, or underlying productivity more than offsets the timing headwinds.</w:t>
      </w:r>
    </w:p>
    <w:p>
      <w:pPr>
        <w:pStyle w:val="BodyText"/>
      </w:pPr>
      <w:r>
        <w:rPr>
          <w:b/>
          <w:bCs/>
        </w:rPr>
        <w:t xml:space="preserve">Bearish outcome:</w:t>
      </w:r>
      <w:r>
        <w:t xml:space="preserve"> </w:t>
      </w:r>
      <w:r>
        <w:t xml:space="preserve">inflation/logistics costs outpace realized surcharges, or customer resistance delays price realization.</w:t>
      </w:r>
    </w:p>
    <w:bookmarkEnd w:id="12"/>
    <w:bookmarkStart w:id="13" w:name="X49391bd2c612f2e3231b942c0f14181365dfd59"/>
    <w:p>
      <w:pPr>
        <w:pStyle w:val="Heading3"/>
      </w:pPr>
      <w:r>
        <w:t xml:space="preserve">4. Full-year guidance is likely more important than the quarterly beat</w:t>
      </w:r>
    </w:p>
    <w:p>
      <w:pPr>
        <w:pStyle w:val="FirstParagraph"/>
      </w:pPr>
      <w:r>
        <w:t xml:space="preserve">DD’s May full-year outlook was: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FY26 guidance</w:t>
            </w:r>
          </w:p>
        </w:tc>
      </w:tr>
      <w:tr>
        <w:tc>
          <w:tcPr/>
          <w:p>
            <w:pPr>
              <w:pStyle w:val="Compact"/>
            </w:pPr>
            <w:r>
              <w:t xml:space="preserve">Net sales</w:t>
            </w:r>
          </w:p>
        </w:tc>
        <w:tc>
          <w:tcPr/>
          <w:p>
            <w:pPr>
              <w:pStyle w:val="Compact"/>
              <w:jc w:val="right"/>
            </w:pPr>
            <m:oMath>
              <m:r>
                <m:t>7.155</m:t>
              </m:r>
              <m:r>
                <m:t>B</m:t>
              </m:r>
              <m:r>
                <m:rPr>
                  <m:sty m:val="p"/>
                </m:rPr>
                <m:t>–</m:t>
              </m:r>
            </m:oMath>
            <w:r>
              <w:rPr>
                <w:b/>
                <w:bCs/>
              </w:rPr>
              <w:t xml:space="preserve">7.215B</w:t>
            </w:r>
          </w:p>
        </w:tc>
      </w:tr>
      <w:tr>
        <w:tc>
          <w:tcPr/>
          <w:p>
            <w:pPr>
              <w:pStyle w:val="Compact"/>
            </w:pPr>
            <w:r>
              <w:t xml:space="preserve">Organic sales growth</w:t>
            </w:r>
          </w:p>
        </w:tc>
        <w:tc>
          <w:tcPr/>
          <w:p>
            <w:pPr>
              <w:pStyle w:val="Compact"/>
              <w:jc w:val="right"/>
            </w:pPr>
            <w:r>
              <w:rPr>
                <w:b/>
                <w:bCs/>
              </w:rPr>
              <w:t xml:space="preserve">~4%</w:t>
            </w:r>
            <w:r>
              <w:t xml:space="preserve">, including ~1% price</w:t>
            </w:r>
          </w:p>
        </w:tc>
      </w:tr>
      <w:tr>
        <w:tc>
          <w:tcPr/>
          <w:p>
            <w:pPr>
              <w:pStyle w:val="Compact"/>
            </w:pPr>
            <w:r>
              <w:t xml:space="preserve">Operating EBITDA</w:t>
            </w:r>
          </w:p>
        </w:tc>
        <w:tc>
          <w:tcPr/>
          <w:p>
            <w:pPr>
              <w:pStyle w:val="Compact"/>
              <w:jc w:val="right"/>
            </w:pPr>
            <m:oMath>
              <m:r>
                <m:t>1.730</m:t>
              </m:r>
              <m:r>
                <m:t>B</m:t>
              </m:r>
              <m:r>
                <m:rPr>
                  <m:sty m:val="p"/>
                </m:rPr>
                <m:t>–</m:t>
              </m:r>
            </m:oMath>
            <w:r>
              <w:rPr>
                <w:b/>
                <w:bCs/>
              </w:rPr>
              <w:t xml:space="preserve">1.760B</w:t>
            </w:r>
          </w:p>
        </w:tc>
      </w:tr>
      <w:tr>
        <w:tc>
          <w:tcPr/>
          <w:p>
            <w:pPr>
              <w:pStyle w:val="Compact"/>
            </w:pPr>
            <w:r>
              <w:t xml:space="preserve">Adjusted EPS, post-split equivalent</w:t>
            </w:r>
          </w:p>
        </w:tc>
        <w:tc>
          <w:tcPr/>
          <w:p>
            <w:pPr>
              <w:pStyle w:val="Compact"/>
              <w:jc w:val="right"/>
            </w:pPr>
            <w:r>
              <w:rPr>
                <w:b/>
                <w:bCs/>
              </w:rPr>
              <w:t xml:space="preserve">~</w:t>
            </w:r>
            <m:oMath>
              <m:r>
                <m:t>7.05</m:t>
              </m:r>
              <m:r>
                <m:rPr>
                  <m:sty m:val="p"/>
                </m:rPr>
                <m:t>–</m:t>
              </m:r>
            </m:oMath>
            <w:r>
              <w:rPr>
                <w:b/>
                <w:bCs/>
              </w:rPr>
              <w:t xml:space="preserve">7.20</w:t>
            </w:r>
          </w:p>
        </w:tc>
      </w:tr>
      <w:tr>
        <w:tc>
          <w:tcPr/>
          <w:p>
            <w:pPr>
              <w:pStyle w:val="Compact"/>
            </w:pPr>
            <w:r>
              <w:t xml:space="preserve">Free-cash-flow conversion</w:t>
            </w:r>
          </w:p>
        </w:tc>
        <w:tc>
          <w:tcPr/>
          <w:p>
            <w:pPr>
              <w:pStyle w:val="Compact"/>
              <w:jc w:val="right"/>
            </w:pPr>
            <w:r>
              <w:rPr>
                <w:b/>
                <w:bCs/>
              </w:rPr>
              <w:t xml:space="preserve">&gt;90%</w:t>
            </w:r>
          </w:p>
        </w:tc>
      </w:tr>
    </w:tbl>
    <w:p>
      <w:pPr>
        <w:pStyle w:val="BodyText"/>
      </w:pPr>
      <w:r>
        <w:t xml:space="preserve">Management’s original framework implied that first-half sales and EBITDA would represent about</w:t>
      </w:r>
      <w:r>
        <w:t xml:space="preserve"> </w:t>
      </w:r>
      <w:r>
        <w:rPr>
          <w:b/>
          <w:bCs/>
        </w:rPr>
        <w:t xml:space="preserve">48% of the full-year midpoint</w:t>
      </w:r>
      <w:r>
        <w:t xml:space="preserve">, leaving a meaningful second-half acceleration. That makes the outlook for Water project timing, pricing realization, construction demand, and sustained productivity more important than a small 2Q EPS variance.</w:t>
      </w:r>
    </w:p>
    <w:p>
      <w:pPr>
        <w:pStyle w:val="BodyText"/>
      </w:pPr>
      <w:r>
        <w:t xml:space="preserve">A reiteration would be acceptable if segment trends are intact. A raise would likely require evidence that healthcare, Water, and margin execution are tracking better than the existing plan—rather than just favorable FX or non-operating benefits.</w:t>
      </w:r>
    </w:p>
    <w:bookmarkEnd w:id="13"/>
    <w:bookmarkEnd w:id="14"/>
    <w:bookmarkStart w:id="15" w:name="X02161486017162dee8a2be94edba7739c69f685"/>
    <w:p>
      <w:pPr>
        <w:pStyle w:val="Heading2"/>
      </w:pPr>
      <w:r>
        <w:t xml:space="preserve">Cash deployment and portfolio are secondary, but relevant</w:t>
      </w:r>
    </w:p>
    <w:p>
      <w:pPr>
        <w:pStyle w:val="FirstParagraph"/>
      </w:pPr>
      <w:r>
        <w:t xml:space="preserve">DuPont completed the Aramids divestiture on April 1 for approximately</w:t>
      </w:r>
      <w:r>
        <w:t xml:space="preserve"> </w:t>
      </w:r>
      <w:r>
        <w:rPr>
          <w:b/>
          <w:bCs/>
        </w:rPr>
        <w:t xml:space="preserve">$1.2B of pre-tax cash proceeds</w:t>
      </w:r>
      <w:r>
        <w:t xml:space="preserve">, plus a</w:t>
      </w:r>
      <w:r>
        <w:t xml:space="preserve"> </w:t>
      </w:r>
      <m:oMath>
        <m:r>
          <m:t>300</m:t>
        </m:r>
        <m:r>
          <m:t>M</m:t>
        </m:r>
        <m:r>
          <m:t>n</m:t>
        </m:r>
        <m:r>
          <m:t>o</m:t>
        </m:r>
        <m:r>
          <m:t>t</m:t>
        </m:r>
        <m:r>
          <m:t>e</m:t>
        </m:r>
        <m:r>
          <m:t>r</m:t>
        </m:r>
        <m:r>
          <m:t>e</m:t>
        </m:r>
        <m:r>
          <m:t>c</m:t>
        </m:r>
        <m:r>
          <m:t>e</m:t>
        </m:r>
        <m:r>
          <m:t>i</m:t>
        </m:r>
        <m:r>
          <m:t>v</m:t>
        </m:r>
        <m:r>
          <m:t>a</m:t>
        </m:r>
        <m:r>
          <m:t>b</m:t>
        </m:r>
        <m:r>
          <m:t>l</m:t>
        </m:r>
        <m:r>
          <m:t>e</m:t>
        </m:r>
        <m:r>
          <m:t>a</m:t>
        </m:r>
        <m:r>
          <m:t>n</m:t>
        </m:r>
        <m:r>
          <m:t>d</m:t>
        </m:r>
        <m:r>
          <m:t>a</m:t>
        </m:r>
        <m:r>
          <m:t>n</m:t>
        </m:r>
        <m:r>
          <m:t>o</m:t>
        </m:r>
        <m:r>
          <m:t>n</m:t>
        </m:r>
        <m:r>
          <m:rPr>
            <m:sty m:val="p"/>
          </m:rPr>
          <m:t>−</m:t>
        </m:r>
        <m:r>
          <m:t>c</m:t>
        </m:r>
        <m:r>
          <m:t>o</m:t>
        </m:r>
        <m:r>
          <m:t>n</m:t>
        </m:r>
        <m:r>
          <m:t>t</m:t>
        </m:r>
        <m:r>
          <m:t>r</m:t>
        </m:r>
        <m:r>
          <m:t>o</m:t>
        </m:r>
        <m:r>
          <m:t>l</m:t>
        </m:r>
        <m:r>
          <m:t>l</m:t>
        </m:r>
        <m:r>
          <m:t>i</m:t>
        </m:r>
        <m:r>
          <m:t>n</m:t>
        </m:r>
        <m:r>
          <m:t>g</m:t>
        </m:r>
        <m:r>
          <m:t>e</m:t>
        </m:r>
        <m:r>
          <m:t>q</m:t>
        </m:r>
        <m:r>
          <m:t>u</m:t>
        </m:r>
        <m:r>
          <m:t>i</m:t>
        </m:r>
        <m:r>
          <m:t>t</m:t>
        </m:r>
        <m:r>
          <m:t>y</m:t>
        </m:r>
        <m:r>
          <m:t>i</m:t>
        </m:r>
        <m:r>
          <m:t>n</m:t>
        </m:r>
        <m:r>
          <m:t>t</m:t>
        </m:r>
        <m:r>
          <m:t>e</m:t>
        </m:r>
        <m:r>
          <m:t>r</m:t>
        </m:r>
        <m:r>
          <m:t>e</m:t>
        </m:r>
        <m:r>
          <m:t>s</m:t>
        </m:r>
        <m:r>
          <m:t>t</m:t>
        </m:r>
        <m:r>
          <m:t>i</m:t>
        </m:r>
        <m:r>
          <m:t>n</m:t>
        </m:r>
        <m:r>
          <m:t>t</m:t>
        </m:r>
        <m:r>
          <m:t>h</m:t>
        </m:r>
        <m:r>
          <m:t>e</m:t>
        </m:r>
        <m:r>
          <m:t>b</m:t>
        </m:r>
        <m:r>
          <m:t>u</m:t>
        </m:r>
        <m:r>
          <m:t>y</m:t>
        </m:r>
        <m:r>
          <m:t>e</m:t>
        </m:r>
        <m:r>
          <m:t>r</m:t>
        </m:r>
        <m:r>
          <m:rPr>
            <m:sty m:val="p"/>
          </m:rPr>
          <m:t>.</m:t>
        </m:r>
        <m:r>
          <m:t>T</m:t>
        </m:r>
        <m:r>
          <m:t>h</m:t>
        </m:r>
        <m:r>
          <m:t>e</m:t>
        </m:r>
        <m:r>
          <m:t>c</m:t>
        </m:r>
        <m:r>
          <m:t>o</m:t>
        </m:r>
        <m:r>
          <m:t>m</m:t>
        </m:r>
        <m:r>
          <m:t>p</m:t>
        </m:r>
        <m:r>
          <m:t>a</m:t>
        </m:r>
        <m:r>
          <m:t>n</m:t>
        </m:r>
        <m:r>
          <m:t>y</m:t>
        </m:r>
        <m:r>
          <m:t>s</m:t>
        </m:r>
        <m:r>
          <m:t>u</m:t>
        </m:r>
        <m:r>
          <m:t>b</m:t>
        </m:r>
        <m:r>
          <m:t>s</m:t>
        </m:r>
        <m:r>
          <m:t>e</m:t>
        </m:r>
        <m:r>
          <m:t>q</m:t>
        </m:r>
        <m:r>
          <m:t>u</m:t>
        </m:r>
        <m:r>
          <m:t>e</m:t>
        </m:r>
        <m:r>
          <m:t>n</m:t>
        </m:r>
        <m:r>
          <m:t>t</m:t>
        </m:r>
        <m:r>
          <m:t>l</m:t>
        </m:r>
        <m:r>
          <m:t>y</m:t>
        </m:r>
        <m:r>
          <m:t>a</m:t>
        </m:r>
        <m:r>
          <m:t>n</m:t>
        </m:r>
        <m:r>
          <m:t>n</m:t>
        </m:r>
        <m:r>
          <m:t>o</m:t>
        </m:r>
        <m:r>
          <m:t>u</m:t>
        </m:r>
        <m:r>
          <m:t>n</m:t>
        </m:r>
        <m:r>
          <m:t>c</m:t>
        </m:r>
        <m:r>
          <m:t>e</m:t>
        </m:r>
        <m:r>
          <m:t>d</m:t>
        </m:r>
        <m:r>
          <m:t>a</m:t>
        </m:r>
        <m:r>
          <m:rPr>
            <m:sty m:val="p"/>
          </m:rPr>
          <m:t>*</m:t>
        </m:r>
        <m:r>
          <m:rPr>
            <m:sty m:val="p"/>
          </m:rPr>
          <m:t>*</m:t>
        </m:r>
      </m:oMath>
      <w:r>
        <w:t xml:space="preserve">275M accelerated share repurchase**, after having completed a prior $500M ASR under its $2B authorization.</w:t>
      </w:r>
    </w:p>
    <w:p>
      <w:pPr>
        <w:pStyle w:val="BodyText"/>
      </w:pPr>
      <w:r>
        <w:t xml:space="preserve">Investors should listen for:</w:t>
      </w:r>
    </w:p>
    <w:p>
      <w:pPr>
        <w:pStyle w:val="Compact"/>
        <w:numPr>
          <w:ilvl w:val="0"/>
          <w:numId w:val="1004"/>
        </w:numPr>
      </w:pPr>
      <w:r>
        <w:t xml:space="preserve">progress on stranded-cost removal following the portfolio reshaping;</w:t>
      </w:r>
    </w:p>
    <w:p>
      <w:pPr>
        <w:pStyle w:val="Compact"/>
        <w:numPr>
          <w:ilvl w:val="0"/>
          <w:numId w:val="1004"/>
        </w:numPr>
      </w:pPr>
      <w:r>
        <w:t xml:space="preserve">further buyback activity versus tuck-in healthcare-oriented M&amp;A;</w:t>
      </w:r>
    </w:p>
    <w:p>
      <w:pPr>
        <w:pStyle w:val="Compact"/>
        <w:numPr>
          <w:ilvl w:val="0"/>
          <w:numId w:val="1004"/>
        </w:numPr>
      </w:pPr>
      <w:r>
        <w:t xml:space="preserve">the pace of moving the portfolio toward a larger Healthcare &amp; Water mix over time; and</w:t>
      </w:r>
    </w:p>
    <w:p>
      <w:pPr>
        <w:pStyle w:val="Compact"/>
        <w:numPr>
          <w:ilvl w:val="0"/>
          <w:numId w:val="1004"/>
        </w:numPr>
      </w:pPr>
      <w:r>
        <w:t xml:space="preserve">any updates to PFAS-related exposures or other legacy liabilities.</w:t>
      </w:r>
    </w:p>
    <w:bookmarkEnd w:id="15"/>
    <w:bookmarkStart w:id="16" w:name="risks-into-the-release"/>
    <w:p>
      <w:pPr>
        <w:pStyle w:val="Heading2"/>
      </w:pPr>
      <w:r>
        <w:t xml:space="preserve">Risks into the release</w:t>
      </w:r>
    </w:p>
    <w:p>
      <w:pPr>
        <w:pStyle w:val="Compact"/>
        <w:numPr>
          <w:ilvl w:val="0"/>
          <w:numId w:val="1005"/>
        </w:numPr>
      </w:pPr>
      <w:r>
        <w:rPr>
          <w:b/>
          <w:bCs/>
        </w:rPr>
        <w:t xml:space="preserve">Water project and Middle East execution risk.</w:t>
      </w:r>
      <w:r>
        <w:t xml:space="preserve"> </w:t>
      </w:r>
      <w:r>
        <w:t xml:space="preserve">The 2H Water recovery depends partly on project timing and continued ability to navigate regional logistics.</w:t>
      </w:r>
    </w:p>
    <w:p>
      <w:pPr>
        <w:pStyle w:val="Compact"/>
        <w:numPr>
          <w:ilvl w:val="0"/>
          <w:numId w:val="1005"/>
        </w:numPr>
      </w:pPr>
      <w:r>
        <w:rPr>
          <w:b/>
          <w:bCs/>
        </w:rPr>
        <w:t xml:space="preserve">Construction remains weak.</w:t>
      </w:r>
      <w:r>
        <w:t xml:space="preserve"> </w:t>
      </w:r>
      <w:r>
        <w:t xml:space="preserve">Building Technologies is tied to end markets that management expects to remain soft in the near term.</w:t>
      </w:r>
    </w:p>
    <w:p>
      <w:pPr>
        <w:pStyle w:val="Compact"/>
        <w:numPr>
          <w:ilvl w:val="0"/>
          <w:numId w:val="1005"/>
        </w:numPr>
      </w:pPr>
      <w:r>
        <w:rPr>
          <w:b/>
          <w:bCs/>
        </w:rPr>
        <w:t xml:space="preserve">Price-cost mismatch.</w:t>
      </w:r>
      <w:r>
        <w:t xml:space="preserve"> </w:t>
      </w:r>
      <w:r>
        <w:t xml:space="preserve">DD has acted to recover elevated raw-material, energy, and logistics costs, but pricing realization can lag cost inflation.</w:t>
      </w:r>
    </w:p>
    <w:p>
      <w:pPr>
        <w:pStyle w:val="Compact"/>
        <w:numPr>
          <w:ilvl w:val="0"/>
          <w:numId w:val="1005"/>
        </w:numPr>
      </w:pPr>
      <w:r>
        <w:rPr>
          <w:b/>
          <w:bCs/>
        </w:rPr>
        <w:t xml:space="preserve">Demand normalization in healthcare.</w:t>
      </w:r>
      <w:r>
        <w:t xml:space="preserve"> </w:t>
      </w:r>
      <w:r>
        <w:t xml:space="preserve">Healthcare has been a major growth driver; slowing procedure-related demand or softer biopharma activity would matter disproportionately.</w:t>
      </w:r>
    </w:p>
    <w:p>
      <w:pPr>
        <w:pStyle w:val="Compact"/>
        <w:numPr>
          <w:ilvl w:val="0"/>
          <w:numId w:val="1005"/>
        </w:numPr>
      </w:pPr>
      <w:r>
        <w:rPr>
          <w:b/>
          <w:bCs/>
        </w:rPr>
        <w:t xml:space="preserve">Cash-flow cadence.</w:t>
      </w:r>
      <w:r>
        <w:t xml:space="preserve"> </w:t>
      </w:r>
      <w:r>
        <w:t xml:space="preserve">Management expects cash conversion to improve in the second half; working-capital discipline and inventory management bear watching.</w:t>
      </w:r>
    </w:p>
    <w:p>
      <w:pPr>
        <w:pStyle w:val="Compact"/>
        <w:numPr>
          <w:ilvl w:val="0"/>
          <w:numId w:val="1005"/>
        </w:numPr>
      </w:pPr>
      <w:r>
        <w:rPr>
          <w:b/>
          <w:bCs/>
        </w:rPr>
        <w:t xml:space="preserve">Legacy legal/environmental matters.</w:t>
      </w:r>
      <w:r>
        <w:t xml:space="preserve"> </w:t>
      </w:r>
      <w:r>
        <w:t xml:space="preserve">While there was no material PFAS update on the 1Q call, this remains a background valuation and risk consideration.</w:t>
      </w:r>
    </w:p>
    <w:bookmarkEnd w:id="16"/>
    <w:bookmarkStart w:id="17" w:name="stock-setup"/>
    <w:p>
      <w:pPr>
        <w:pStyle w:val="Heading2"/>
      </w:pPr>
      <w:r>
        <w:t xml:space="preserve">Stock setup</w:t>
      </w:r>
    </w:p>
    <w:p>
      <w:pPr>
        <w:pStyle w:val="FirstParagraph"/>
      </w:pPr>
      <w:r>
        <w:t xml:space="preserve">DD closed at</w:t>
      </w:r>
      <w:r>
        <w:t xml:space="preserve"> </w:t>
      </w:r>
      <w:r>
        <w:rPr>
          <w:b/>
          <w:bCs/>
        </w:rPr>
        <w:t xml:space="preserve">$141.31 on August 3</w:t>
      </w:r>
      <w:r>
        <w:t xml:space="preserve">, up roughly</w:t>
      </w:r>
      <w:r>
        <w:t xml:space="preserve"> </w:t>
      </w:r>
      <w:r>
        <w:rPr>
          <w:b/>
          <w:bCs/>
        </w:rPr>
        <w:t xml:space="preserve">3.1%</w:t>
      </w:r>
      <w:r>
        <w:t xml:space="preserve"> </w:t>
      </w:r>
      <w:r>
        <w:t xml:space="preserve">from its July 31 close but still about</w:t>
      </w:r>
      <w:r>
        <w:t xml:space="preserve"> </w:t>
      </w:r>
      <w:r>
        <w:rPr>
          <w:b/>
          <w:bCs/>
        </w:rPr>
        <w:t xml:space="preserve">4.3% below</w:t>
      </w:r>
      <w:r>
        <w:t xml:space="preserve"> </w:t>
      </w:r>
      <w:r>
        <w:t xml:space="preserve">its May 5 post-earnings close. That suggests the stock is not pricing an obvious near-term blowout, but investors will likely demand confirmation that the raised full-year guide remains credible.</w:t>
      </w:r>
    </w:p>
    <w:bookmarkEnd w:id="17"/>
    <w:bookmarkStart w:id="19" w:name="bottom-line"/>
    <w:p>
      <w:pPr>
        <w:pStyle w:val="Heading2"/>
      </w:pPr>
      <w:r>
        <w:t xml:space="preserve">Bottom line</w:t>
      </w:r>
    </w:p>
    <w:p>
      <w:pPr>
        <w:pStyle w:val="FirstParagraph"/>
      </w:pPr>
      <w:r>
        <w:t xml:space="preserve">The most constructive 2Q result would combine:</w:t>
      </w:r>
    </w:p>
    <w:p>
      <w:pPr>
        <w:pStyle w:val="Compact"/>
        <w:numPr>
          <w:ilvl w:val="0"/>
          <w:numId w:val="1006"/>
        </w:numPr>
      </w:pPr>
      <w:r>
        <w:t xml:space="preserve">sales and EBITDA at or above the</w:t>
      </w:r>
      <w:r>
        <w:t xml:space="preserve"> </w:t>
      </w:r>
      <w:r>
        <w:rPr>
          <w:b/>
          <w:bCs/>
        </w:rPr>
        <w:t xml:space="preserve">$1.80B / $430M</w:t>
      </w:r>
      <w:r>
        <w:t xml:space="preserve"> </w:t>
      </w:r>
      <w:r>
        <w:t xml:space="preserve">framework;</w:t>
      </w:r>
    </w:p>
    <w:p>
      <w:pPr>
        <w:pStyle w:val="Compact"/>
        <w:numPr>
          <w:ilvl w:val="0"/>
          <w:numId w:val="1006"/>
        </w:numPr>
      </w:pPr>
      <w:r>
        <w:t xml:space="preserve">sustained mid-single-digit growth in Healthcare &amp; Water;</w:t>
      </w:r>
    </w:p>
    <w:p>
      <w:pPr>
        <w:pStyle w:val="Compact"/>
        <w:numPr>
          <w:ilvl w:val="0"/>
          <w:numId w:val="1006"/>
        </w:numPr>
      </w:pPr>
      <w:r>
        <w:t xml:space="preserve">evidence that Water’s 1Q shipping disruption was temporary;</w:t>
      </w:r>
    </w:p>
    <w:p>
      <w:pPr>
        <w:pStyle w:val="Compact"/>
        <w:numPr>
          <w:ilvl w:val="0"/>
          <w:numId w:val="1006"/>
        </w:numPr>
      </w:pPr>
      <w:r>
        <w:t xml:space="preserve">low-single-digit growth and continued margin progress in Diversified Industrials;</w:t>
      </w:r>
    </w:p>
    <w:p>
      <w:pPr>
        <w:pStyle w:val="Compact"/>
        <w:numPr>
          <w:ilvl w:val="0"/>
          <w:numId w:val="1006"/>
        </w:numPr>
      </w:pPr>
      <w:r>
        <w:t xml:space="preserve">price-cost performance at least consistent with management’s plan; and</w:t>
      </w:r>
    </w:p>
    <w:p>
      <w:pPr>
        <w:pStyle w:val="Compact"/>
        <w:numPr>
          <w:ilvl w:val="0"/>
          <w:numId w:val="1006"/>
        </w:numPr>
      </w:pPr>
      <w:r>
        <w:t xml:space="preserve">a confident reiteration—or raise—of full-year guidance.</w:t>
      </w:r>
    </w:p>
    <w:p>
      <w:pPr>
        <w:pStyle w:val="FirstParagraph"/>
      </w:pPr>
      <w:r>
        <w:t xml:space="preserve">Conversely, the principal negative setup would be a Water shortfall, more severe construction softness, or margin pressure that indicates pricing is not keeping pace with costs.</w:t>
      </w:r>
    </w:p>
    <w:bookmarkStart w:id="18" w:name="source-materials-reviewed"/>
    <w:p>
      <w:pPr>
        <w:pStyle w:val="Heading3"/>
      </w:pPr>
      <w:r>
        <w:t xml:space="preserve">Source materials reviewed</w:t>
      </w:r>
    </w:p>
    <w:p>
      <w:pPr>
        <w:pStyle w:val="Compact"/>
        <w:numPr>
          <w:ilvl w:val="0"/>
          <w:numId w:val="1007"/>
        </w:numPr>
      </w:pPr>
      <w:r>
        <w:t xml:space="preserve">DuPont 1Q26 earnings release and 1Q26 earnings-call transcript, May 5, 2026</w:t>
      </w:r>
    </w:p>
    <w:p>
      <w:pPr>
        <w:pStyle w:val="Compact"/>
        <w:numPr>
          <w:ilvl w:val="0"/>
          <w:numId w:val="1007"/>
        </w:numPr>
      </w:pPr>
      <w:r>
        <w:t xml:space="preserve">DuPont 1Q26 Form 10-Q, including MD&amp;A, risk factors, and legal-proceedings disclosures</w:t>
      </w:r>
    </w:p>
    <w:p>
      <w:pPr>
        <w:pStyle w:val="Compact"/>
        <w:numPr>
          <w:ilvl w:val="0"/>
          <w:numId w:val="1007"/>
        </w:numPr>
      </w:pPr>
      <w:r>
        <w:t xml:space="preserve">DuPont Form 8-K regarding the June 24, 2026 1-for-3 reverse stock split</w:t>
      </w:r>
    </w:p>
    <w:p>
      <w:pPr>
        <w:pStyle w:val="Compact"/>
        <w:numPr>
          <w:ilvl w:val="0"/>
          <w:numId w:val="1007"/>
        </w:numPr>
      </w:pPr>
      <w:r>
        <w:t xml:space="preserve">DD historical closing-price data through August 3, 2026</w:t>
      </w:r>
    </w:p>
    <w:bookmarkEnd w:id="18"/>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2026-08-04T00:11:39Z</dcterms:created>
  <dcterms:modified xsi:type="dcterms:W3CDTF">2026-08-04T00:11:39Z</dcterms:modified>
</cp:coreProperties>
</file>

<file path=docProps/custom.xml><?xml version="1.0" encoding="utf-8"?>
<Properties xmlns="http://schemas.openxmlformats.org/officeDocument/2006/custom-properties" xmlns:vt="http://schemas.openxmlformats.org/officeDocument/2006/docPropsVTypes"/>
</file>