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datadog-ddog--q2-2026-earnings-preview"/>
    <w:p>
      <w:pPr>
        <w:pStyle w:val="Heading1"/>
      </w:pPr>
      <w:r>
        <w:t xml:space="preserve">Datadog (DDOG) — Q2 2026 Earnings Preview</w:t>
      </w:r>
    </w:p>
    <w:p>
      <w:pPr>
        <w:pStyle w:val="FirstParagraph"/>
      </w:pPr>
      <w:r>
        <w:rPr>
          <w:b/>
          <w:bCs/>
        </w:rPr>
        <w:t xml:space="preserve">Reports:</w:t>
      </w:r>
      <w:r>
        <w:t xml:space="preserve"> </w:t>
      </w:r>
      <w:r>
        <w:t xml:space="preserve">Thursday, August 6, 2026 (before market open) ·</w:t>
      </w:r>
      <w:r>
        <w:t xml:space="preserve"> </w:t>
      </w:r>
      <w:r>
        <w:rPr>
          <w:b/>
          <w:bCs/>
        </w:rPr>
        <w:t xml:space="preserve">Call:</w:t>
      </w:r>
      <w:r>
        <w:t xml:space="preserve"> </w:t>
      </w:r>
      <w:r>
        <w:t xml:space="preserve">8:00 a.m. ET</w:t>
      </w:r>
    </w:p>
    <w:p>
      <w:r>
        <w:pict>
          <v:rect style="width:0;height:1.5pt" o:hralign="center" o:hrstd="t" o:hr="t"/>
        </w:pict>
      </w:r>
    </w:p>
    <w:bookmarkStart w:id="9" w:name="the-one-line-setup"/>
    <w:p>
      <w:pPr>
        <w:pStyle w:val="Heading2"/>
      </w:pPr>
      <w:r>
        <w:t xml:space="preserve">The one-line setup</w:t>
      </w:r>
    </w:p>
    <w:p>
      <w:pPr>
        <w:pStyle w:val="FirstParagraph"/>
      </w:pPr>
      <w:r>
        <w:t xml:space="preserve">Datadog heads into Q2 as one of the strongest-performing names in software, riding an AI-driven reacceleration in growth. The bar is high: the stock has roughly doubled since the Q1 blowout, so this print is less about whether the quarter is "good" and more about whether it can sustain acceleration, extend the new AI-training narrative, and out-run an increasingly rich valuation.</w:t>
      </w:r>
    </w:p>
    <w:p>
      <w:r>
        <w:pict>
          <v:rect style="width:0;height:1.5pt" o:hralign="center" o:hrstd="t" o:hr="t"/>
        </w:pict>
      </w:r>
    </w:p>
    <w:bookmarkEnd w:id="9"/>
    <w:bookmarkStart w:id="10" w:name="what-management-guided-for-q2-2026"/>
    <w:p>
      <w:pPr>
        <w:pStyle w:val="Heading2"/>
      </w:pPr>
      <w:r>
        <w:t xml:space="preserve">What management guided for Q2 2026</w:t>
      </w:r>
    </w:p>
    <w:p>
      <w:pPr>
        <w:pStyle w:val="FirstParagraph"/>
      </w:pPr>
      <w:r>
        <w:t xml:space="preserve">On the May 7 Q1 call, management set the following targets for Q2 (given DASH conference costs of ~$15M land in the quarter):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Implied YoY</w:t>
            </w:r>
          </w:p>
        </w:tc>
        <w:tc>
          <w:tcPr/>
          <w:p>
            <w:pPr>
              <w:pStyle w:val="Compact"/>
            </w:pPr>
            <w:r>
              <w:t xml:space="preserve">Q2 2025 Actual</w:t>
            </w:r>
          </w:p>
        </w:tc>
      </w:tr>
      <w:tr>
        <w:tc>
          <w:tcPr/>
          <w:p>
            <w:pPr>
              <w:pStyle w:val="Compact"/>
            </w:pPr>
            <w:r>
              <w:t xml:space="preserve">Revenue</w:t>
            </w:r>
          </w:p>
        </w:tc>
        <w:tc>
          <w:tcPr/>
          <w:p>
            <w:pPr>
              <w:pStyle w:val="Compact"/>
            </w:pPr>
            <w:r>
              <w:t xml:space="preserve">$1.07B – $1.08B</w:t>
            </w:r>
          </w:p>
        </w:tc>
        <w:tc>
          <w:tcPr/>
          <w:p>
            <w:pPr>
              <w:pStyle w:val="Compact"/>
            </w:pPr>
            <w:r>
              <w:t xml:space="preserve">+29% to +31%</w:t>
            </w:r>
          </w:p>
        </w:tc>
        <w:tc>
          <w:tcPr/>
          <w:p>
            <w:pPr>
              <w:pStyle w:val="Compact"/>
            </w:pPr>
            <w:r>
              <w:t xml:space="preserve">$826.8M</w:t>
            </w:r>
          </w:p>
        </w:tc>
      </w:tr>
      <w:tr>
        <w:tc>
          <w:tcPr/>
          <w:p>
            <w:pPr>
              <w:pStyle w:val="Compact"/>
            </w:pPr>
            <w:r>
              <w:t xml:space="preserve">Non-GAAP operating income</w:t>
            </w:r>
          </w:p>
        </w:tc>
        <w:tc>
          <w:tcPr/>
          <w:p>
            <w:pPr>
              <w:pStyle w:val="Compact"/>
            </w:pPr>
            <w:r>
              <w:t xml:space="preserve">$225M – $235M</w:t>
            </w:r>
          </w:p>
        </w:tc>
        <w:tc>
          <w:tcPr/>
          <w:p>
            <w:pPr>
              <w:pStyle w:val="Compact"/>
            </w:pPr>
            <w:r>
              <w:t xml:space="preserve">—</w:t>
            </w:r>
          </w:p>
        </w:tc>
        <w:tc>
          <w:tcPr/>
          <w:p>
            <w:pPr>
              <w:pStyle w:val="Compact"/>
            </w:pPr>
            <w:r>
              <w:t xml:space="preserve">$164.1M</w:t>
            </w:r>
          </w:p>
        </w:tc>
      </w:tr>
      <w:tr>
        <w:tc>
          <w:tcPr/>
          <w:p>
            <w:pPr>
              <w:pStyle w:val="Compact"/>
            </w:pPr>
            <w:r>
              <w:t xml:space="preserve">Non-GAAP operating margin</w:t>
            </w:r>
          </w:p>
        </w:tc>
        <w:tc>
          <w:tcPr/>
          <w:p>
            <w:pPr>
              <w:pStyle w:val="Compact"/>
            </w:pPr>
            <w:r>
              <w:t xml:space="preserve">~21%–22%</w:t>
            </w:r>
          </w:p>
        </w:tc>
        <w:tc>
          <w:tcPr/>
          <w:p>
            <w:pPr>
              <w:pStyle w:val="Compact"/>
            </w:pPr>
            <w:r>
              <w:t xml:space="preserve">—</w:t>
            </w:r>
          </w:p>
        </w:tc>
        <w:tc>
          <w:tcPr/>
          <w:p>
            <w:pPr>
              <w:pStyle w:val="Compact"/>
            </w:pPr>
            <w:r>
              <w:t xml:space="preserve">20%</w:t>
            </w:r>
          </w:p>
        </w:tc>
      </w:tr>
      <w:tr>
        <w:tc>
          <w:tcPr/>
          <w:p>
            <w:pPr>
              <w:pStyle w:val="Compact"/>
            </w:pPr>
            <w:r>
              <w:t xml:space="preserve">Non-GAAP EPS (diluted)</w:t>
            </w:r>
          </w:p>
        </w:tc>
        <w:tc>
          <w:tcPr/>
          <w:p>
            <w:pPr>
              <w:pStyle w:val="Compact"/>
            </w:pPr>
            <w:r>
              <w:t xml:space="preserve">$0.57 – $0.59</w:t>
            </w:r>
          </w:p>
        </w:tc>
        <w:tc>
          <w:tcPr/>
          <w:p>
            <w:pPr>
              <w:pStyle w:val="Compact"/>
            </w:pPr>
            <w:r>
              <w:t xml:space="preserve">—</w:t>
            </w:r>
          </w:p>
        </w:tc>
        <w:tc>
          <w:tcPr/>
          <w:p>
            <w:pPr>
              <w:pStyle w:val="Compact"/>
            </w:pPr>
            <w:r>
              <w:t xml:space="preserve">$0.46</w:t>
            </w:r>
          </w:p>
        </w:tc>
      </w:tr>
      <w:tr>
        <w:tc>
          <w:tcPr/>
          <w:p>
            <w:pPr>
              <w:pStyle w:val="Compact"/>
            </w:pPr>
            <w:r>
              <w:t xml:space="preserve">Weighted diluted shares</w:t>
            </w:r>
          </w:p>
        </w:tc>
        <w:tc>
          <w:tcPr/>
          <w:p>
            <w:pPr>
              <w:pStyle w:val="Compact"/>
            </w:pPr>
            <w:r>
              <w:t xml:space="preserve">~369M</w:t>
            </w:r>
          </w:p>
        </w:tc>
        <w:tc>
          <w:tcPr/>
          <w:p>
            <w:pPr>
              <w:pStyle w:val="Compact"/>
            </w:pPr>
            <w:r>
              <w:t xml:space="preserve">—</w:t>
            </w:r>
          </w:p>
        </w:tc>
        <w:tc>
          <w:tcPr/>
          <w:p>
            <w:pPr>
              <w:pStyle w:val="Compact"/>
            </w:pPr>
            <w:r>
              <w:t xml:space="preserve">358.7M</w:t>
            </w:r>
          </w:p>
        </w:tc>
      </w:tr>
    </w:tbl>
    <w:p>
      <w:pPr>
        <w:pStyle w:val="Compact"/>
        <w:numPr>
          <w:ilvl w:val="0"/>
          <w:numId w:val="1001"/>
        </w:numPr>
      </w:pPr>
      <w:r>
        <w:rPr>
          <w:b/>
          <w:bCs/>
        </w:rPr>
        <w:t xml:space="preserve">Sequential math:</w:t>
      </w:r>
      <w:r>
        <w:t xml:space="preserve"> </w:t>
      </w:r>
      <w:r>
        <w:t xml:space="preserve">the guide implies</w:t>
      </w:r>
      <w:r>
        <w:t xml:space="preserve"> </w:t>
      </w:r>
      <m:oMath>
        <m:r>
          <m:t>64</m:t>
        </m:r>
        <m:r>
          <m:t>M</m:t>
        </m:r>
        <m:r>
          <m:rPr>
            <m:sty m:val="p"/>
          </m:rPr>
          <m:t>–</m:t>
        </m:r>
      </m:oMath>
      <w:r>
        <w:t xml:space="preserve">74M of sequential revenue add (6%–7% q/q), which management flagged as unusually strong off a record Q1.</w:t>
      </w:r>
    </w:p>
    <w:p>
      <w:pPr>
        <w:pStyle w:val="Compact"/>
        <w:numPr>
          <w:ilvl w:val="0"/>
          <w:numId w:val="1001"/>
        </w:numPr>
      </w:pPr>
      <w:r>
        <w:rPr>
          <w:b/>
          <w:bCs/>
        </w:rPr>
        <w:t xml:space="preserve">Street sits at/above the high end:</w:t>
      </w:r>
      <w:r>
        <w:t xml:space="preserve"> </w:t>
      </w:r>
      <w:r>
        <w:t xml:space="preserve">consensus is roughly</w:t>
      </w:r>
      <w:r>
        <w:t xml:space="preserve"> </w:t>
      </w:r>
      <m:oMath>
        <m:r>
          <m:t>1.077</m:t>
        </m:r>
        <m:r>
          <m:t>B</m:t>
        </m:r>
        <m:r>
          <m:t>i</m:t>
        </m:r>
        <m:r>
          <m:t>n</m:t>
        </m:r>
        <m:r>
          <m:t>r</m:t>
        </m:r>
        <m:r>
          <m:t>e</m:t>
        </m:r>
        <m:r>
          <m:t>v</m:t>
        </m:r>
        <m:r>
          <m:t>e</m:t>
        </m:r>
        <m:r>
          <m:t>n</m:t>
        </m:r>
        <m:r>
          <m:t>u</m:t>
        </m:r>
        <m:r>
          <m:t>e</m:t>
        </m:r>
        <m:r>
          <m:t>a</m:t>
        </m:r>
        <m:r>
          <m:t>n</m:t>
        </m:r>
        <m:r>
          <m:t>d</m:t>
        </m:r>
        <m:r>
          <m:t> </m:t>
        </m:r>
      </m:oMath>
      <w:r>
        <w:t xml:space="preserve">0.60 EPS — i.e., the Street is already baking in a beat versus the guided range, both up ~30% y/y.</w:t>
      </w:r>
    </w:p>
    <w:p>
      <w:pPr>
        <w:pStyle w:val="Compact"/>
        <w:numPr>
          <w:ilvl w:val="0"/>
          <w:numId w:val="1001"/>
        </w:numPr>
      </w:pPr>
      <w:r>
        <w:rPr>
          <w:b/>
          <w:bCs/>
        </w:rPr>
        <w:t xml:space="preserve">Full-year 2026 guide (for context):</w:t>
      </w:r>
      <w:r>
        <w:t xml:space="preserve"> </w:t>
      </w:r>
      <w:r>
        <w:t xml:space="preserve">revenue</w:t>
      </w:r>
      <w:r>
        <w:t xml:space="preserve"> </w:t>
      </w:r>
      <m:oMath>
        <m:r>
          <m:t>4.30</m:t>
        </m:r>
        <m:r>
          <m:t>B</m:t>
        </m:r>
        <m:r>
          <m:rPr>
            <m:sty m:val="p"/>
          </m:rPr>
          <m:t>–</m:t>
        </m:r>
      </m:oMath>
      <w:r>
        <w:t xml:space="preserve">4.34B (+25%–27%), non-GAAP operating income</w:t>
      </w:r>
      <w:r>
        <w:t xml:space="preserve"> </w:t>
      </w:r>
      <m:oMath>
        <m:r>
          <m:t>940</m:t>
        </m:r>
        <m:r>
          <m:t>M</m:t>
        </m:r>
        <m:r>
          <m:rPr>
            <m:sty m:val="p"/>
          </m:rPr>
          <m:t>–</m:t>
        </m:r>
      </m:oMath>
      <w:r>
        <w:t xml:space="preserve">980M, non-GAAP EPS</w:t>
      </w:r>
      <w:r>
        <w:t xml:space="preserve"> </w:t>
      </w:r>
      <m:oMath>
        <m:r>
          <m:t>2.36</m:t>
        </m:r>
        <m:r>
          <m:rPr>
            <m:sty m:val="p"/>
          </m:rPr>
          <m:t>–</m:t>
        </m:r>
      </m:oMath>
      <w:r>
        <w:t xml:space="preserve">2.44. Watch for the customary raise.</w:t>
      </w:r>
    </w:p>
    <w:p>
      <w:r>
        <w:pict>
          <v:rect style="width:0;height:1.5pt" o:hralign="center" o:hrstd="t" o:hr="t"/>
        </w:pict>
      </w:r>
    </w:p>
    <w:bookmarkEnd w:id="10"/>
    <w:bookmarkStart w:id="11" w:name="why-q1-set-such-a-high-bar"/>
    <w:p>
      <w:pPr>
        <w:pStyle w:val="Heading2"/>
      </w:pPr>
      <w:r>
        <w:t xml:space="preserve">Why Q1 set such a high bar</w:t>
      </w:r>
    </w:p>
    <w:p>
      <w:pPr>
        <w:pStyle w:val="FirstParagraph"/>
      </w:pPr>
      <w:r>
        <w:t xml:space="preserve">Q1 2026 was an across-the-board beat-and-raise that triggered a ~31% single-day stock jump (May 7: $143.71 → $188.73):</w:t>
      </w:r>
    </w:p>
    <w:p>
      <w:pPr>
        <w:pStyle w:val="Compact"/>
        <w:numPr>
          <w:ilvl w:val="0"/>
          <w:numId w:val="1002"/>
        </w:numPr>
      </w:pPr>
      <w:r>
        <w:rPr>
          <w:b/>
          <w:bCs/>
        </w:rPr>
        <w:t xml:space="preserve">Revenue $1.006B, +32% y/y</w:t>
      </w:r>
      <w:r>
        <w:t xml:space="preserve"> </w:t>
      </w:r>
      <w:r>
        <w:t xml:space="preserve">— accelerating from +29% in Q4 and +25% a year earlier, and crossing $1B quarterly revenue / $4B ARR for the first time.</w:t>
      </w:r>
    </w:p>
    <w:p>
      <w:pPr>
        <w:pStyle w:val="Compact"/>
        <w:numPr>
          <w:ilvl w:val="0"/>
          <w:numId w:val="1002"/>
        </w:numPr>
      </w:pPr>
      <w:r>
        <w:rPr>
          <w:b/>
          <w:bCs/>
        </w:rPr>
        <w:t xml:space="preserve">Broad-based, not just AI:</w:t>
      </w:r>
      <w:r>
        <w:t xml:space="preserve"> </w:t>
      </w:r>
      <w:r>
        <w:t xml:space="preserve">the non-AI-native cohort</w:t>
      </w:r>
      <w:r>
        <w:t xml:space="preserve"> </w:t>
      </w:r>
      <w:r>
        <w:rPr>
          <w:i/>
          <w:iCs/>
        </w:rPr>
        <w:t xml:space="preserve">reaccelerated</w:t>
      </w:r>
      <w:r>
        <w:t xml:space="preserve"> </w:t>
      </w:r>
      <w:r>
        <w:t xml:space="preserve">to mid-20s% y/y (from 23% prior and 19% a year ago) — management's key evidence that cloud migration + platform consolidation are healthy independent of the AI narrative.</w:t>
      </w:r>
    </w:p>
    <w:p>
      <w:pPr>
        <w:pStyle w:val="Compact"/>
        <w:numPr>
          <w:ilvl w:val="0"/>
          <w:numId w:val="1002"/>
        </w:numPr>
      </w:pPr>
      <w:r>
        <w:rPr>
          <w:b/>
          <w:bCs/>
        </w:rPr>
        <w:t xml:space="preserve">Record ARR added</w:t>
      </w:r>
      <w:r>
        <w:t xml:space="preserve"> </w:t>
      </w:r>
      <w:r>
        <w:t xml:space="preserve">and</w:t>
      </w:r>
      <w:r>
        <w:t xml:space="preserve"> </w:t>
      </w:r>
      <w:r>
        <w:rPr>
          <w:b/>
          <w:bCs/>
        </w:rPr>
        <w:t xml:space="preserve">record new-logo bookings</w:t>
      </w:r>
      <w:r>
        <w:t xml:space="preserve"> </w:t>
      </w:r>
      <w:r>
        <w:t xml:space="preserve">(more than doubled y/y, with record average land size).</w:t>
      </w:r>
    </w:p>
    <w:p>
      <w:pPr>
        <w:pStyle w:val="Compact"/>
        <w:numPr>
          <w:ilvl w:val="0"/>
          <w:numId w:val="1002"/>
        </w:numPr>
      </w:pPr>
      <w:r>
        <w:rPr>
          <w:b/>
          <w:bCs/>
        </w:rPr>
        <w:t xml:space="preserve">Leading indicators strong:</w:t>
      </w:r>
      <w:r>
        <w:t xml:space="preserve"> </w:t>
      </w:r>
      <w:r>
        <w:t xml:space="preserve">billings +37%, RPO +51% ($3.48B), current RPO in the mid-40s%.</w:t>
      </w:r>
    </w:p>
    <w:p>
      <w:pPr>
        <w:pStyle w:val="Compact"/>
        <w:numPr>
          <w:ilvl w:val="0"/>
          <w:numId w:val="1002"/>
        </w:numPr>
      </w:pPr>
      <w:r>
        <w:rPr>
          <w:b/>
          <w:bCs/>
        </w:rPr>
        <w:t xml:space="preserve">Retention:</w:t>
      </w:r>
      <w:r>
        <w:t xml:space="preserve"> </w:t>
      </w:r>
      <w:r>
        <w:t xml:space="preserve">trailing-12-month NRR ticked up to low-120s% (from ~120%); gross retention stable mid-to-high 90s.</w:t>
      </w:r>
    </w:p>
    <w:p>
      <w:pPr>
        <w:pStyle w:val="FirstParagraph"/>
      </w:pPr>
      <w:r>
        <w:t xml:space="preserve">The key point for Thursday: Q1's acceleration and record ARR add mechanically de-risk the Q2 revenue number (recurring model), so a straight in-line quarter would be a mild disappointment given positioning.</w:t>
      </w:r>
    </w:p>
    <w:p>
      <w:r>
        <w:pict>
          <v:rect style="width:0;height:1.5pt" o:hralign="center" o:hrstd="t" o:hr="t"/>
        </w:pict>
      </w:r>
    </w:p>
    <w:bookmarkEnd w:id="11"/>
    <w:bookmarkStart w:id="12" w:name="the-key-debates-going-into-the-print"/>
    <w:p>
      <w:pPr>
        <w:pStyle w:val="Heading2"/>
      </w:pPr>
      <w:r>
        <w:t xml:space="preserve">The key debates going into the print</w:t>
      </w:r>
    </w:p>
    <w:p>
      <w:pPr>
        <w:pStyle w:val="FirstParagraph"/>
      </w:pPr>
      <w:r>
        <w:rPr>
          <w:b/>
          <w:bCs/>
        </w:rPr>
        <w:t xml:space="preserve">1. AI-native concentration &amp; the "largest customer."</w:t>
      </w:r>
      <w:r>
        <w:t xml:space="preserve"> </w:t>
      </w:r>
      <w:r>
        <w:t xml:space="preserve">Management explicitly applied a</w:t>
      </w:r>
      <w:r>
        <w:t xml:space="preserve"> </w:t>
      </w:r>
      <w:r>
        <w:rPr>
          <w:i/>
          <w:iCs/>
        </w:rPr>
        <w:t xml:space="preserve">higher degree of conservatism</w:t>
      </w:r>
      <w:r>
        <w:t xml:space="preserve"> </w:t>
      </w:r>
      <w:r>
        <w:t xml:space="preserve">to its single largest customer (widely understood to be a top foundation-model lab) in guidance — both vs. other cohorts and consistent with prior quarters. AI natives now include 22 customers spending &gt;</w:t>
      </w:r>
      <m:oMath>
        <m:r>
          <m:t>1</m:t>
        </m:r>
        <m:r>
          <m:t>M</m:t>
        </m:r>
        <m:r>
          <m:rPr>
            <m:sty m:val="p"/>
          </m:rPr>
          <m:t>/</m:t>
        </m:r>
        <m:r>
          <m:t>y</m:t>
        </m:r>
        <m:r>
          <m:t>r</m:t>
        </m:r>
        <m:r>
          <m:t>a</m:t>
        </m:r>
        <m:r>
          <m:t>n</m:t>
        </m:r>
        <m:r>
          <m:t>d</m:t>
        </m:r>
        <m:r>
          <m:t>5</m:t>
        </m:r>
        <m:r>
          <m:t>s</m:t>
        </m:r>
        <m:r>
          <m:t>p</m:t>
        </m:r>
        <m:r>
          <m:t>e</m:t>
        </m:r>
        <m:r>
          <m:t>n</m:t>
        </m:r>
        <m:r>
          <m:t>d</m:t>
        </m:r>
        <m:r>
          <m:t>i</m:t>
        </m:r>
        <m:r>
          <m:t>n</m:t>
        </m:r>
        <m:r>
          <m:t>g</m:t>
        </m:r>
        <m:r>
          <m:rPr>
            <m:sty m:val="p"/>
          </m:rPr>
          <m:t>&gt;</m:t>
        </m:r>
      </m:oMath>
      <w:r>
        <w:t xml:space="preserve">10M/yr. This is the biggest swing factor and the biggest risk: concentration cuts both ways. Watch for updated color on largest-customer trajectory and whether conservatism is unchanged.</w:t>
      </w:r>
    </w:p>
    <w:p>
      <w:pPr>
        <w:pStyle w:val="BodyText"/>
      </w:pPr>
      <w:r>
        <w:rPr>
          <w:b/>
          <w:bCs/>
        </w:rPr>
        <w:t xml:space="preserve">2. Training — the new demand vector.</w:t>
      </w:r>
      <w:r>
        <w:t xml:space="preserve"> </w:t>
      </w:r>
      <w:r>
        <w:t xml:space="preserve">Q1's headline surprise was landing 7-figure and 8-figure deals with AI-research divisions at two of the world's largest tech companies for</w:t>
      </w:r>
      <w:r>
        <w:t xml:space="preserve"> </w:t>
      </w:r>
      <w:r>
        <w:rPr>
          <w:b/>
          <w:bCs/>
        </w:rPr>
        <w:t xml:space="preserve">hyperscale training workloads</w:t>
      </w:r>
      <w:r>
        <w:t xml:space="preserve"> </w:t>
      </w:r>
      <w:r>
        <w:t xml:space="preserve">— a market Datadog said a year ago was</w:t>
      </w:r>
      <w:r>
        <w:t xml:space="preserve"> </w:t>
      </w:r>
      <w:r>
        <w:rPr>
          <w:i/>
          <w:iCs/>
        </w:rPr>
        <w:t xml:space="preserve">not</w:t>
      </w:r>
      <w:r>
        <w:t xml:space="preserve"> </w:t>
      </w:r>
      <w:r>
        <w:t xml:space="preserve">really addressable for them. GPU Monitoring (now GA) is the tip of the spear. Any evidence this is broadening beyond the initial two logos would be a meaningful new TAM signal.</w:t>
      </w:r>
    </w:p>
    <w:p>
      <w:pPr>
        <w:pStyle w:val="BodyText"/>
      </w:pPr>
      <w:r>
        <w:rPr>
          <w:b/>
          <w:bCs/>
        </w:rPr>
        <w:t xml:space="preserve">3. Can growth acceleration continue?</w:t>
      </w:r>
      <w:r>
        <w:t xml:space="preserve"> </w:t>
      </w:r>
      <w:r>
        <w:t xml:space="preserve">Three straight quarters of acceleration (25% → 29% → 32%). The debate is whether Q2 can hold 30%+ or whether tough comps and the guided ~30% cap it. Watch usage trends "into July," the non-AI cohort's growth rate, and NRR direction.</w:t>
      </w:r>
    </w:p>
    <w:p>
      <w:pPr>
        <w:pStyle w:val="BodyText"/>
      </w:pPr>
      <w:r>
        <w:rPr>
          <w:b/>
          <w:bCs/>
        </w:rPr>
        <w:t xml:space="preserve">4. DASH 2026 product cycle.</w:t>
      </w:r>
      <w:r>
        <w:t xml:space="preserve"> </w:t>
      </w:r>
      <w:r>
        <w:t xml:space="preserve">The June 9–10 DASH conference (est. ~$15M cost, embedded in the Q2 margin guide) is where new products were unveiled. Management teased "more to share." Look for early traction commentary on Bits AI agents (SRE/Security/Assistant), MCP Server, CloudPrem (bring-your-own-cloud), and FedRAMP High / federal pipeline.</w:t>
      </w:r>
    </w:p>
    <w:p>
      <w:pPr>
        <w:pStyle w:val="BodyText"/>
      </w:pPr>
      <w:r>
        <w:rPr>
          <w:b/>
          <w:bCs/>
        </w:rPr>
        <w:t xml:space="preserve">5. Margins.</w:t>
      </w:r>
      <w:r>
        <w:t xml:space="preserve"> </w:t>
      </w:r>
      <w:r>
        <w:t xml:space="preserve">Non-GAAP operating margin guided down sequentially to 21–22% (from 22% in Q1) on DASH costs and continued heavy R&amp;D/S&amp;M hiring. OpEx grew 31% in Q1. Datadog remains in invest-for-growth mode; margin upside would be a bonus, not the thesis.</w:t>
      </w:r>
    </w:p>
    <w:p>
      <w:r>
        <w:pict>
          <v:rect style="width:0;height:1.5pt" o:hralign="center" o:hrstd="t" o:hr="t"/>
        </w:pict>
      </w:r>
    </w:p>
    <w:bookmarkEnd w:id="12"/>
    <w:bookmarkStart w:id="13" w:name="stock--sentiment-context"/>
    <w:p>
      <w:pPr>
        <w:pStyle w:val="Heading2"/>
      </w:pPr>
      <w:r>
        <w:t xml:space="preserve">Stock &amp; sentiment context</w:t>
      </w:r>
    </w:p>
    <w:p>
      <w:pPr>
        <w:pStyle w:val="Compact"/>
        <w:numPr>
          <w:ilvl w:val="0"/>
          <w:numId w:val="1003"/>
        </w:numPr>
      </w:pPr>
      <w:r>
        <w:rPr>
          <w:b/>
          <w:bCs/>
        </w:rPr>
        <w:t xml:space="preserve">Massive re-rating:</w:t>
      </w:r>
      <w:r>
        <w:t xml:space="preserve"> </w:t>
      </w:r>
      <w:r>
        <w:t xml:space="preserve">shares bottomed near ~$105 in the early-April tariff selloff, gapped up ~31% on the Q1 print, and peaked around</w:t>
      </w:r>
      <w:r>
        <w:t xml:space="preserve"> </w:t>
      </w:r>
      <m:oMath>
        <m:r>
          <m:t>277</m:t>
        </m:r>
        <m:r>
          <m:t>i</m:t>
        </m:r>
        <m:r>
          <m:t>n</m:t>
        </m:r>
        <m:r>
          <m:t>t</m:t>
        </m:r>
        <m:r>
          <m:t>o</m:t>
        </m:r>
        <m:r>
          <m:t>D</m:t>
        </m:r>
        <m:r>
          <m:t>A</m:t>
        </m:r>
        <m:r>
          <m:t>S</m:t>
        </m:r>
        <m:r>
          <m:t>H</m:t>
        </m:r>
        <m:r>
          <m:rPr>
            <m:sty m:val="p"/>
          </m:rPr>
          <m:t>(</m:t>
        </m:r>
        <m:r>
          <m:t>J</m:t>
        </m:r>
        <m:r>
          <m:t>u</m:t>
        </m:r>
        <m:r>
          <m:t>n</m:t>
        </m:r>
        <m:r>
          <m:t>e</m:t>
        </m:r>
        <m:r>
          <m:t>1</m:t>
        </m:r>
        <m:r>
          <m:rPr>
            <m:sty m:val="p"/>
          </m:rPr>
          <m:t>)</m:t>
        </m:r>
        <m:r>
          <m:rPr>
            <m:sty m:val="p"/>
          </m:rPr>
          <m:t>.</m:t>
        </m:r>
        <m:r>
          <m:t>A</m:t>
        </m:r>
        <m:r>
          <m:t>f</m:t>
        </m:r>
        <m:r>
          <m:t>t</m:t>
        </m:r>
        <m:r>
          <m:t>e</m:t>
        </m:r>
        <m:r>
          <m:t>r</m:t>
        </m:r>
        <m:r>
          <m:t>a</m:t>
        </m:r>
        <m:r>
          <m:t>m</m:t>
        </m:r>
        <m:r>
          <m:t>i</m:t>
        </m:r>
        <m:r>
          <m:t>d</m:t>
        </m:r>
        <m:r>
          <m:rPr>
            <m:sty m:val="p"/>
          </m:rPr>
          <m:t>−</m:t>
        </m:r>
        <m:r>
          <m:t>J</m:t>
        </m:r>
        <m:r>
          <m:t>u</m:t>
        </m:r>
        <m:r>
          <m:t>n</m:t>
        </m:r>
        <m:r>
          <m:t>e</m:t>
        </m:r>
        <m:r>
          <m:t>p</m:t>
        </m:r>
        <m:r>
          <m:t>u</m:t>
        </m:r>
        <m:r>
          <m:t>l</m:t>
        </m:r>
        <m:r>
          <m:t>l</m:t>
        </m:r>
        <m:r>
          <m:t>b</m:t>
        </m:r>
        <m:r>
          <m:t>a</m:t>
        </m:r>
        <m:r>
          <m:t>c</m:t>
        </m:r>
        <m:r>
          <m:t>k</m:t>
        </m:r>
        <m:r>
          <m:t>t</m:t>
        </m:r>
        <m:r>
          <m:t>o</m:t>
        </m:r>
        <m:r>
          <m:t> </m:t>
        </m:r>
      </m:oMath>
      <w:r>
        <w:t xml:space="preserve">220, the stock has climbed back to ~$283 (Aug 5) — essentially doubling since pre-Q1.</w:t>
      </w:r>
    </w:p>
    <w:p>
      <w:pPr>
        <w:pStyle w:val="Compact"/>
        <w:numPr>
          <w:ilvl w:val="0"/>
          <w:numId w:val="1003"/>
        </w:numPr>
      </w:pPr>
      <w:r>
        <w:rPr>
          <w:b/>
          <w:bCs/>
        </w:rPr>
        <w:t xml:space="preserve">Elevated expectations:</w:t>
      </w:r>
      <w:r>
        <w:t xml:space="preserve"> </w:t>
      </w:r>
      <w:r>
        <w:t xml:space="preserve">the run means the "whisper" is well above the guided range; a mere in-line beat may not satisfy after the Q1 gap-up.</w:t>
      </w:r>
    </w:p>
    <w:p>
      <w:pPr>
        <w:pStyle w:val="Compact"/>
        <w:numPr>
          <w:ilvl w:val="0"/>
          <w:numId w:val="1003"/>
        </w:numPr>
      </w:pPr>
      <w:r>
        <w:rPr>
          <w:b/>
          <w:bCs/>
        </w:rPr>
        <w:t xml:space="preserve">Heavy insider selling:</w:t>
      </w:r>
      <w:r>
        <w:t xml:space="preserve"> </w:t>
      </w:r>
      <w:r>
        <w:t xml:space="preserve">a steady stream of planned 10b5-1 sales through July–early August, including CEO Olivier Pomel filing to sell ~</w:t>
      </w:r>
      <m:oMath>
        <m:r>
          <m:t>36.6</m:t>
        </m:r>
        <m:r>
          <m:t>M</m:t>
        </m:r>
        <m:r>
          <m:rPr>
            <m:sty m:val="p"/>
          </m:rPr>
          <m:t>(</m:t>
        </m:r>
        <m:r>
          <m:t>A</m:t>
        </m:r>
        <m:r>
          <m:t>u</m:t>
        </m:r>
        <m:r>
          <m:t>g</m:t>
        </m:r>
        <m:r>
          <m:t>5</m:t>
        </m:r>
        <m:r>
          <m:rPr>
            <m:sty m:val="p"/>
          </m:rPr>
          <m:t>)</m:t>
        </m:r>
        <m:r>
          <m:t>a</m:t>
        </m:r>
        <m:r>
          <m:t>n</m:t>
        </m:r>
        <m:r>
          <m:t>d</m:t>
        </m:r>
        <m:r>
          <m:t> </m:t>
        </m:r>
      </m:oMath>
      <w:r>
        <w:t xml:space="preserve">32.7M (mid-July), plus CTO Alexis Le-Quoc and CPO Amit Agarwal. These are pre-scheduled, but the volume/timing into the print is worth noting for sentiment.</w:t>
      </w:r>
    </w:p>
    <w:p>
      <w:pPr>
        <w:pStyle w:val="Compact"/>
        <w:numPr>
          <w:ilvl w:val="0"/>
          <w:numId w:val="1003"/>
        </w:numPr>
      </w:pPr>
      <w:r>
        <w:rPr>
          <w:b/>
          <w:bCs/>
        </w:rPr>
        <w:t xml:space="preserve">Positioning:</w:t>
      </w:r>
      <w:r>
        <w:t xml:space="preserve"> </w:t>
      </w:r>
      <w:r>
        <w:t xml:space="preserve">despite cautious software sentiment broadly, DDOG is a favored AI-infrastructure long — framed as the "observability layer for AI agents/systems."</w:t>
      </w:r>
    </w:p>
    <w:p>
      <w:r>
        <w:pict>
          <v:rect style="width:0;height:1.5pt" o:hralign="center" o:hrstd="t" o:hr="t"/>
        </w:pict>
      </w:r>
    </w:p>
    <w:bookmarkEnd w:id="13"/>
    <w:bookmarkStart w:id="14" w:name="the-scorecard-to-watch-thursday-morning"/>
    <w:p>
      <w:pPr>
        <w:pStyle w:val="Heading2"/>
      </w:pPr>
      <w:r>
        <w:t xml:space="preserve">The scorecard to watch Thursday morning</w:t>
      </w:r>
    </w:p>
    <w:p>
      <w:pPr>
        <w:pStyle w:val="Compact"/>
        <w:numPr>
          <w:ilvl w:val="0"/>
          <w:numId w:val="1004"/>
        </w:numPr>
      </w:pPr>
      <w:r>
        <w:rPr>
          <w:b/>
          <w:bCs/>
        </w:rPr>
        <w:t xml:space="preserve">Revenue vs. ~$1.077B / guide $1.07–1.08B</w:t>
      </w:r>
      <w:r>
        <w:t xml:space="preserve"> </w:t>
      </w:r>
      <w:r>
        <w:t xml:space="preserve">— and the</w:t>
      </w:r>
      <w:r>
        <w:t xml:space="preserve"> </w:t>
      </w:r>
      <w:r>
        <w:rPr>
          <w:i/>
          <w:iCs/>
        </w:rPr>
        <w:t xml:space="preserve">size</w:t>
      </w:r>
      <w:r>
        <w:t xml:space="preserve"> </w:t>
      </w:r>
      <w:r>
        <w:t xml:space="preserve">of the beat (Q1 set a high beat bar).</w:t>
      </w:r>
    </w:p>
    <w:p>
      <w:pPr>
        <w:pStyle w:val="Compact"/>
        <w:numPr>
          <w:ilvl w:val="0"/>
          <w:numId w:val="1004"/>
        </w:numPr>
      </w:pPr>
      <w:r>
        <w:rPr>
          <w:b/>
          <w:bCs/>
        </w:rPr>
        <w:t xml:space="preserve">Y/Y growth rate</w:t>
      </w:r>
      <w:r>
        <w:t xml:space="preserve"> </w:t>
      </w:r>
      <w:r>
        <w:t xml:space="preserve">— does it hold 30%+ (accel/decel signal)?</w:t>
      </w:r>
    </w:p>
    <w:p>
      <w:pPr>
        <w:pStyle w:val="Compact"/>
        <w:numPr>
          <w:ilvl w:val="0"/>
          <w:numId w:val="1004"/>
        </w:numPr>
      </w:pPr>
      <w:r>
        <w:rPr>
          <w:b/>
          <w:bCs/>
        </w:rPr>
        <w:t xml:space="preserve">FY26 raise</w:t>
      </w:r>
      <w:r>
        <w:t xml:space="preserve"> </w:t>
      </w:r>
      <w:r>
        <w:t xml:space="preserve">— magnitude vs. the $4.30–4.34B / $2.36–2.44 EPS guide.</w:t>
      </w:r>
    </w:p>
    <w:p>
      <w:pPr>
        <w:pStyle w:val="Compact"/>
        <w:numPr>
          <w:ilvl w:val="0"/>
          <w:numId w:val="1004"/>
        </w:numPr>
      </w:pPr>
      <w:r>
        <w:rPr>
          <w:b/>
          <w:bCs/>
        </w:rPr>
        <w:t xml:space="preserve">Non-AI cohort growth</w:t>
      </w:r>
      <w:r>
        <w:t xml:space="preserve"> </w:t>
      </w:r>
      <w:r>
        <w:t xml:space="preserve">— the "clean" demand signal (was mid-20s%).</w:t>
      </w:r>
    </w:p>
    <w:p>
      <w:pPr>
        <w:pStyle w:val="Compact"/>
        <w:numPr>
          <w:ilvl w:val="0"/>
          <w:numId w:val="1004"/>
        </w:numPr>
      </w:pPr>
      <w:r>
        <w:rPr>
          <w:b/>
          <w:bCs/>
        </w:rPr>
        <w:t xml:space="preserve">NRR</w:t>
      </w:r>
      <w:r>
        <w:t xml:space="preserve"> </w:t>
      </w:r>
      <w:r>
        <w:t xml:space="preserve">— continued climb off low-120s%?</w:t>
      </w:r>
    </w:p>
    <w:p>
      <w:pPr>
        <w:pStyle w:val="Compact"/>
        <w:numPr>
          <w:ilvl w:val="0"/>
          <w:numId w:val="1004"/>
        </w:numPr>
      </w:pPr>
      <w:r>
        <w:rPr>
          <w:b/>
          <w:bCs/>
        </w:rPr>
        <w:t xml:space="preserve">AI-native / largest-customer commentary</w:t>
      </w:r>
      <w:r>
        <w:t xml:space="preserve"> </w:t>
      </w:r>
      <w:r>
        <w:t xml:space="preserve">— concentration and conservatism.</w:t>
      </w:r>
    </w:p>
    <w:p>
      <w:pPr>
        <w:pStyle w:val="Compact"/>
        <w:numPr>
          <w:ilvl w:val="0"/>
          <w:numId w:val="1004"/>
        </w:numPr>
      </w:pPr>
      <w:r>
        <w:rPr>
          <w:b/>
          <w:bCs/>
        </w:rPr>
        <w:t xml:space="preserve">Training pipeline</w:t>
      </w:r>
      <w:r>
        <w:t xml:space="preserve"> </w:t>
      </w:r>
      <w:r>
        <w:t xml:space="preserve">— is the new hyperscaler/GPU-monitoring opportunity broadening?</w:t>
      </w:r>
    </w:p>
    <w:p>
      <w:pPr>
        <w:pStyle w:val="Compact"/>
        <w:numPr>
          <w:ilvl w:val="0"/>
          <w:numId w:val="1004"/>
        </w:numPr>
      </w:pPr>
      <w:r>
        <w:rPr>
          <w:b/>
          <w:bCs/>
        </w:rPr>
        <w:t xml:space="preserve">$100K+ ARR customers, product-attach rates</w:t>
      </w:r>
      <w:r>
        <w:t xml:space="preserve"> </w:t>
      </w:r>
      <w:r>
        <w:t xml:space="preserve">(4+/6+/8+ products), and FCF margin.</w:t>
      </w:r>
    </w:p>
    <w:p>
      <w:pPr>
        <w:pStyle w:val="FirstParagraph"/>
      </w:pPr>
      <w:r>
        <w:rPr>
          <w:b/>
          <w:bCs/>
        </w:rPr>
        <w:t xml:space="preserve">Bottom line:</w:t>
      </w:r>
      <w:r>
        <w:t xml:space="preserve"> </w:t>
      </w:r>
      <w:r>
        <w:t xml:space="preserve">Datadog has been a serial beat-and-raiser and enters Q2 with strong leading indicators (record ARR add, RPO +51%, reaccelerating non-AI growth) that skew the near-term revenue setup positive. The risk is entirely in expectations: after doubling, the stock likely needs another clean beat, a healthy FY raise, and continued acceleration — plus reassurance on AI-customer concentration — to keep working.</w:t>
      </w:r>
    </w:p>
    <w:p>
      <w:pPr>
        <w:pStyle w:val="BodyText"/>
      </w:pPr>
      <w:r>
        <w:rPr>
          <w:i/>
          <w:iCs/>
        </w:rPr>
        <w:t xml:space="preserve">Note: figures above are drawn from Datadog's Q1 2026 and Q2 2025 earnings releases/calls and market data; consensus estimates are from recent news aggregation and may differ slightly across providers.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2026-08-06T00:04:41Z</dcterms:created>
  <dcterms:modified xsi:type="dcterms:W3CDTF">2026-08-06T00:04:41Z</dcterms:modified>
</cp:coreProperties>
</file>

<file path=docProps/custom.xml><?xml version="1.0" encoding="utf-8"?>
<Properties xmlns="http://schemas.openxmlformats.org/officeDocument/2006/custom-properties" xmlns:vt="http://schemas.openxmlformats.org/officeDocument/2006/docPropsVTypes"/>
</file>