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Datadog (DDOG) Q2 2026 Earnings Preview</w:t>
      </w:r>
      <w:r>
        <w:t xml:space="preserve"> </w:t>
      </w:r>
      <w:r>
        <w:rPr>
          <w:b/>
          <w:bCs/>
        </w:rPr>
        <w:t xml:space="preserve">Report Date:</w:t>
      </w:r>
      <w:r>
        <w:t xml:space="preserve"> </w:t>
      </w:r>
      <w:r>
        <w:t xml:space="preserve">Thursday, August 6,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Xabae2b2ff756d09770073278c196e95042150fd"/>
    <w:p>
      <w:pPr>
        <w:pStyle w:val="Heading2"/>
      </w:pPr>
      <w:r>
        <w:t xml:space="preserve">Setup: A Stock That Has Nearly Doubled Since Its Last Print</w:t>
      </w:r>
    </w:p>
    <w:p>
      <w:pPr>
        <w:pStyle w:val="FirstParagraph"/>
      </w:pPr>
      <w:r>
        <w:t xml:space="preserve">DDOG walks into this print in a very different position than it was three months ago. Shares closed around $143 before the Q1 2026 report on May 7, then gapped up sharply and have continued grinding higher — closing near $283-288 in the days ahead of tomorrow's release, a ~+90% move since the last earnings reaction. The rally accelerated further around the June DASH conference and has continued through late July/early August alongside a broader "AI capex is paying off" rally in mega-cap tech and infrastructure software following strong hyperscaler cloud results. That backdrop cuts both ways: it confirms the demand narrative Datadog is riding, but it also means the bar for tomorrow's report is now very high, and the market has shown this week it can punish even solid beats when guidance doesn't clear elevated expectations (AMD and Uber both sold off on guidance this week despite topping estimates).</w:t>
      </w:r>
    </w:p>
    <w:bookmarkEnd w:id="9"/>
    <w:bookmarkStart w:id="10" w:name="what-wall-street-is-modeling"/>
    <w:p>
      <w:pPr>
        <w:pStyle w:val="Heading2"/>
      </w:pPr>
      <w:r>
        <w:t xml:space="preserve">What Wall Street Is Modeling</w:t>
      </w:r>
    </w:p>
    <w:p>
      <w:pPr>
        <w:pStyle w:val="Compact"/>
        <w:numPr>
          <w:ilvl w:val="0"/>
          <w:numId w:val="1001"/>
        </w:numPr>
      </w:pPr>
      <w:r>
        <w:rPr>
          <w:b/>
          <w:bCs/>
        </w:rPr>
        <w:t xml:space="preserve">Revenue:</w:t>
      </w:r>
      <w:r>
        <w:t xml:space="preserve"> </w:t>
      </w:r>
      <w:r>
        <w:t xml:space="preserve">Consensus is clustered around</w:t>
      </w:r>
      <w:r>
        <w:t xml:space="preserve"> </w:t>
      </w:r>
      <m:oMath>
        <m:r>
          <m:t>1.077</m:t>
        </m:r>
        <m:r>
          <m:rPr>
            <m:sty m:val="p"/>
          </m:rPr>
          <m:t>–</m:t>
        </m:r>
      </m:oMath>
      <w:r>
        <w:rPr>
          <w:b/>
          <w:bCs/>
        </w:rPr>
        <w:t xml:space="preserve">1.08 billion</w:t>
      </w:r>
      <w:r>
        <w:t xml:space="preserve">, implying roughly</w:t>
      </w:r>
      <w:r>
        <w:t xml:space="preserve"> </w:t>
      </w:r>
      <w:r>
        <w:rPr>
          <w:b/>
          <w:bCs/>
        </w:rPr>
        <w:t xml:space="preserve">+30–31% y/y</w:t>
      </w:r>
      <w:r>
        <w:t xml:space="preserve"> </w:t>
      </w:r>
      <w:r>
        <w:t xml:space="preserve">growth — essentially at the high end of / slightly inside management's own</w:t>
      </w:r>
      <w:r>
        <w:t xml:space="preserve"> </w:t>
      </w:r>
      <m:oMath>
        <m:r>
          <m:t>1.07</m:t>
        </m:r>
        <m:r>
          <m:rPr>
            <m:sty m:val="p"/>
          </m:rPr>
          <m:t>–</m:t>
        </m:r>
      </m:oMath>
      <w:r>
        <w:t xml:space="preserve">1.08B guidance range.</w:t>
      </w:r>
    </w:p>
    <w:p>
      <w:pPr>
        <w:pStyle w:val="Compact"/>
        <w:numPr>
          <w:ilvl w:val="0"/>
          <w:numId w:val="1001"/>
        </w:numPr>
      </w:pPr>
      <w:r>
        <w:rPr>
          <w:b/>
          <w:bCs/>
        </w:rPr>
        <w:t xml:space="preserve">EPS:</w:t>
      </w:r>
      <w:r>
        <w:t xml:space="preserve"> </w:t>
      </w:r>
      <w:r>
        <w:t xml:space="preserve">Consensus non-GAAP EPS is around</w:t>
      </w:r>
      <w:r>
        <w:t xml:space="preserve"> </w:t>
      </w:r>
      <m:oMath>
        <m:r>
          <m:t>0.58</m:t>
        </m:r>
        <m:r>
          <m:rPr>
            <m:sty m:val="p"/>
          </m:rPr>
          <m:t>*</m:t>
        </m:r>
        <m:r>
          <m:rPr>
            <m:sty m:val="p"/>
          </m:rPr>
          <m:t>*</m:t>
        </m:r>
        <m:r>
          <m:rPr>
            <m:sty m:val="p"/>
          </m:rPr>
          <m:t>,</m:t>
        </m:r>
        <m:r>
          <m:t>v</m:t>
        </m:r>
        <m:r>
          <m:t>e</m:t>
        </m:r>
        <m:r>
          <m:t>r</m:t>
        </m:r>
        <m:r>
          <m:t>s</m:t>
        </m:r>
        <m:r>
          <m:t>u</m:t>
        </m:r>
        <m:r>
          <m:t>s</m:t>
        </m:r>
        <m:r>
          <m:t>c</m:t>
        </m:r>
        <m:r>
          <m:t>o</m:t>
        </m:r>
        <m:r>
          <m:t>m</m:t>
        </m:r>
        <m:r>
          <m:t>p</m:t>
        </m:r>
        <m:r>
          <m:t>a</m:t>
        </m:r>
        <m:r>
          <m:t>n</m:t>
        </m:r>
        <m:r>
          <m:t>y</m:t>
        </m:r>
        <m:r>
          <m:t>g</m:t>
        </m:r>
        <m:r>
          <m:t>u</m:t>
        </m:r>
        <m:r>
          <m:t>i</m:t>
        </m:r>
        <m:r>
          <m:t>d</m:t>
        </m:r>
        <m:r>
          <m:t>a</m:t>
        </m:r>
        <m:r>
          <m:t>n</m:t>
        </m:r>
        <m:r>
          <m:t>c</m:t>
        </m:r>
        <m:r>
          <m:t>e</m:t>
        </m:r>
        <m:r>
          <m:t>o</m:t>
        </m:r>
        <m:r>
          <m:t>f</m:t>
        </m:r>
        <m:r>
          <m:rPr>
            <m:sty m:val="p"/>
          </m:rPr>
          <m:t>*</m:t>
        </m:r>
        <m:r>
          <m:rPr>
            <m:sty m:val="p"/>
          </m:rPr>
          <m:t>*</m:t>
        </m:r>
      </m:oMath>
      <w:r>
        <w:rPr>
          <w:b/>
          <w:bCs/>
        </w:rPr>
        <w:t xml:space="preserve">0.57–$0.59</w:t>
      </w:r>
      <w:r>
        <w:t xml:space="preserve">.</w:t>
      </w:r>
    </w:p>
    <w:p>
      <w:pPr>
        <w:pStyle w:val="Compact"/>
        <w:numPr>
          <w:ilvl w:val="0"/>
          <w:numId w:val="1001"/>
        </w:numPr>
      </w:pPr>
      <w:r>
        <w:rPr>
          <w:b/>
          <w:bCs/>
        </w:rPr>
        <w:t xml:space="preserve">Sentiment:</w:t>
      </w:r>
      <w:r>
        <w:t xml:space="preserve"> </w:t>
      </w:r>
      <w:r>
        <w:t xml:space="preserve">Analyst coverage is heavily skewed bullish (consensus "Strong Buy," dozens of Buy ratings vs. a handful of Holds/one Sell), and price targets have been marching up all summer — Citizens JMP to $311, BTIG to $289, CIBC to $280, Needham to $260 — largely chasing the stock's move rather than leading it.</w:t>
      </w:r>
    </w:p>
    <w:p>
      <w:pPr>
        <w:pStyle w:val="Compact"/>
        <w:numPr>
          <w:ilvl w:val="0"/>
          <w:numId w:val="1001"/>
        </w:numPr>
      </w:pPr>
      <w:r>
        <w:t xml:space="preserve">Consensus estimates have been</w:t>
      </w:r>
      <w:r>
        <w:t xml:space="preserve"> </w:t>
      </w:r>
      <w:r>
        <w:rPr>
          <w:b/>
          <w:bCs/>
        </w:rPr>
        <w:t xml:space="preserve">revised upward</w:t>
      </w:r>
      <w:r>
        <w:t xml:space="preserve"> </w:t>
      </w:r>
      <w:r>
        <w:t xml:space="preserve">over the past month/quarter, a sign analysts don't think Q1's momentum was a one-off.</w:t>
      </w:r>
    </w:p>
    <w:bookmarkEnd w:id="10"/>
    <w:bookmarkStart w:id="11" w:name="X8868642ab91b1db6bf60512be3db9781dc2109a"/>
    <w:p>
      <w:pPr>
        <w:pStyle w:val="Heading2"/>
      </w:pPr>
      <w:r>
        <w:t xml:space="preserve">Q1 2026 Recap — Why Expectations Reset Higher</w:t>
      </w:r>
    </w:p>
    <w:p>
      <w:pPr>
        <w:pStyle w:val="FirstParagraph"/>
      </w:pPr>
      <w:r>
        <w:t xml:space="preserve">Datadog's Q1 print was the catalyst for the entire re-rating, so it's worth remembering what set the bar:</w:t>
      </w:r>
    </w:p>
    <w:p>
      <w:pPr>
        <w:pStyle w:val="BodyText"/>
      </w:pPr>
      <w:r>
        <w:t xml:space="preserve">Revenue growth of 32% year-over-year, accelerating from 29% last quarter and 25% in the year ago quarter, with broad-based acceleration across both AI and non-AI customer cohorts. Notably, non-AI customer revenue growth accelerated to mid-20s percent year-over-year, up from 23% last quarter and 19% in the year ago quarter — management's argument that this isn't purely an "AI bubble" story but genuine core cloud-migration reacceleration.</w:t>
      </w:r>
    </w:p>
    <w:p>
      <w:pPr>
        <w:pStyle w:val="BodyText"/>
      </w:pPr>
      <w:r>
        <w:t xml:space="preserve">Other standout Q1 metrics: about 4,550 customers with ARR of $100,000 or more, up from about 3,770 a year ago... generating about 90% of ARR; trailing 12-month net revenue retention in the low 120%'s, up from about 120% last quarter, with gross retention remaining in the mid- to high 90s. Billings grew 37% y/y and RPO was $3.48 billion, up 51% year-over-year. Free cash flow was $289 million in operating cash flow and</w:t>
      </w:r>
      <w:r>
        <w:t xml:space="preserve"> </w:t>
      </w:r>
      <m:oMath>
        <m:r>
          <m:t>289</m:t>
        </m:r>
        <m:r>
          <m:t>m</m:t>
        </m:r>
        <m:r>
          <m:t>i</m:t>
        </m:r>
        <m:r>
          <m:t>l</m:t>
        </m:r>
        <m:r>
          <m:t>l</m:t>
        </m:r>
        <m:r>
          <m:t>i</m:t>
        </m:r>
        <m:r>
          <m:t>o</m:t>
        </m:r>
        <m:r>
          <m:t>n</m:t>
        </m:r>
        <m:r>
          <m:t>i</m:t>
        </m:r>
        <m:r>
          <m:t>n</m:t>
        </m:r>
        <m:r>
          <m:t>f</m:t>
        </m:r>
        <m:r>
          <m:t>r</m:t>
        </m:r>
        <m:r>
          <m:t>e</m:t>
        </m:r>
        <m:r>
          <m:t>e</m:t>
        </m:r>
        <m:r>
          <m:t>c</m:t>
        </m:r>
        <m:r>
          <m:t>a</m:t>
        </m:r>
        <m:r>
          <m:t>s</m:t>
        </m:r>
        <m:r>
          <m:t>h</m:t>
        </m:r>
        <m:r>
          <m:t>f</m:t>
        </m:r>
        <m:r>
          <m:t>l</m:t>
        </m:r>
        <m:r>
          <m:t>o</m:t>
        </m:r>
        <m:r>
          <m:t>w</m:t>
        </m:r>
        <m:r>
          <m:rPr>
            <m:sty m:val="p"/>
          </m:rPr>
          <m:t>(</m:t>
        </m:r>
        <m:r>
          <m:t>29</m:t>
        </m:r>
      </m:oMath>
      <w:r>
        <w:t xml:space="preserve">1B in quarterly revenue for the first time**.</w:t>
      </w:r>
    </w:p>
    <w:p>
      <w:pPr>
        <w:pStyle w:val="BodyText"/>
      </w:pPr>
      <w:r>
        <w:t xml:space="preserve">Management called out that Q1's guide/beat dynamic was driven by an</w:t>
      </w:r>
      <w:r>
        <w:t xml:space="preserve"> </w:t>
      </w:r>
      <w:r>
        <w:rPr>
          <w:b/>
          <w:bCs/>
        </w:rPr>
        <w:t xml:space="preserve">all-time record sequential ARR add</w:t>
      </w:r>
      <w:r>
        <w:t xml:space="preserve">, described as broad-based (not concentrated in one whale customer), plus</w:t>
      </w:r>
      <w:r>
        <w:t xml:space="preserve"> </w:t>
      </w:r>
      <w:r>
        <w:rPr>
          <w:b/>
          <w:bCs/>
        </w:rPr>
        <w:t xml:space="preserve">record new-logo bookings that more than doubled y/y</w:t>
      </w:r>
      <w:r>
        <w:t xml:space="preserve"> </w:t>
      </w:r>
      <w:r>
        <w:t xml:space="preserve">and record average new-logo deal size. CFO David Obstler explicitly noted Q2 guidance implies sequential revenue growth of $64 million to $74 million or 6% to 7%, which would be the largest sequential dollar add in company history at the midpoint.</w:t>
      </w:r>
    </w:p>
    <w:bookmarkEnd w:id="11"/>
    <w:bookmarkStart w:id="12" w:name="the-ai-storyline--what-to-listen-for"/>
    <w:p>
      <w:pPr>
        <w:pStyle w:val="Heading2"/>
      </w:pPr>
      <w:r>
        <w:t xml:space="preserve">The AI Storyline — What to Listen For</w:t>
      </w:r>
    </w:p>
    <w:p>
      <w:pPr>
        <w:pStyle w:val="FirstParagraph"/>
      </w:pPr>
      <w:r>
        <w:t xml:space="preserve">The central debate for DDOG has shifted from "is observability a good business" to "how big is the AI-training/AI-native tailwind, and is it durable." Key threads from the last call to track for updates tomorrow:</w:t>
      </w:r>
    </w:p>
    <w:p>
      <w:pPr>
        <w:pStyle w:val="Compact"/>
        <w:numPr>
          <w:ilvl w:val="0"/>
          <w:numId w:val="1002"/>
        </w:numPr>
      </w:pPr>
      <w:r>
        <w:rPr>
          <w:b/>
          <w:bCs/>
        </w:rPr>
        <w:t xml:space="preserve">AI-native customer cohort</w:t>
      </w:r>
      <w:r>
        <w:t xml:space="preserve">: Q1 disclosed 22 customers spending more than $1 million annually and 5 spending more than $10 million annually within the AI-native group, including new land deals with 2 of the world's biggest AI research teams, helping them improve and optimize their training workflows. Watch for updated AI-native ARR concentration and whether the newly landed hyperscaler/frontier-lab deals are ramping as expected.</w:t>
      </w:r>
    </w:p>
    <w:p>
      <w:pPr>
        <w:pStyle w:val="Compact"/>
        <w:numPr>
          <w:ilvl w:val="0"/>
          <w:numId w:val="1002"/>
        </w:numPr>
      </w:pPr>
      <w:r>
        <w:rPr>
          <w:b/>
          <w:bCs/>
        </w:rPr>
        <w:t xml:space="preserve">Training vs. inference</w:t>
      </w:r>
      <w:r>
        <w:t xml:space="preserve">: Pomel described training workloads as a newly emerging market for Datadog rather than the historically-focused inference/production use case, noting hyperscaler labs are using Datadog's new GPU Monitoring product to optimize large-scale training runs — a potential new demand vector if it broadens beyond a handful of frontier labs.</w:t>
      </w:r>
    </w:p>
    <w:p>
      <w:pPr>
        <w:pStyle w:val="Compact"/>
        <w:numPr>
          <w:ilvl w:val="0"/>
          <w:numId w:val="1002"/>
        </w:numPr>
      </w:pPr>
      <w:r>
        <w:rPr>
          <w:b/>
          <w:bCs/>
        </w:rPr>
        <w:t xml:space="preserve">Attach and product depth</w:t>
      </w:r>
      <w:r>
        <w:t xml:space="preserve">: Over 6,500 customers sending data for one or more AI integrations... only 20% of total customers, but they represent about 80% of our ARR. Multi-product penetration also keeps climbing — 56% of customers now use 4+ products (up from 51%), 35% use 6+ (up from 28%), and 20% use 8+ (up from 13%).</w:t>
      </w:r>
    </w:p>
    <w:p>
      <w:pPr>
        <w:pStyle w:val="Compact"/>
        <w:numPr>
          <w:ilvl w:val="0"/>
          <w:numId w:val="1002"/>
        </w:numPr>
      </w:pPr>
      <w:r>
        <w:rPr>
          <w:b/>
          <w:bCs/>
        </w:rPr>
        <w:t xml:space="preserve">New M&amp;A</w:t>
      </w:r>
      <w:r>
        <w:t xml:space="preserve">: Datadog acquired</w:t>
      </w:r>
      <w:r>
        <w:t xml:space="preserve"> </w:t>
      </w:r>
      <w:r>
        <w:rPr>
          <w:b/>
          <w:bCs/>
        </w:rPr>
        <w:t xml:space="preserve">Adaptive ML</w:t>
      </w:r>
      <w:r>
        <w:t xml:space="preserve">, a startup focused on reinforcement-learning operations (RLOps) for building/deploying specialized AI agents/models, folding it into Datadog AI Research — expect commentary on how this fits the "Datadog for AI" roadmap.</w:t>
      </w:r>
    </w:p>
    <w:p>
      <w:pPr>
        <w:pStyle w:val="Compact"/>
        <w:numPr>
          <w:ilvl w:val="0"/>
          <w:numId w:val="1002"/>
        </w:numPr>
      </w:pPr>
      <w:r>
        <w:rPr>
          <w:b/>
          <w:bCs/>
        </w:rPr>
        <w:t xml:space="preserve">DASH 2026 follow-through</w:t>
      </w:r>
      <w:r>
        <w:t xml:space="preserve">: At its June conference, Datadog unveiled</w:t>
      </w:r>
      <w:r>
        <w:t xml:space="preserve"> </w:t>
      </w:r>
      <w:r>
        <w:rPr>
          <w:b/>
          <w:bCs/>
        </w:rPr>
        <w:t xml:space="preserve">100+ new features</w:t>
      </w:r>
      <w:r>
        <w:t xml:space="preserve">, headlined by an expansion of its Bits AI agent suite toward more autonomous operations — this quarter's call should give an initial read on adoption/monetization of those launches (Bits AI Security Agent/Analyst, Bits Assistant, MCP Server, Experiments, GPU Monitoring, FedRAMP High).</w:t>
      </w:r>
    </w:p>
    <w:bookmarkEnd w:id="12"/>
    <w:bookmarkStart w:id="13" w:name="guidance-context-and-margin-trajectory"/>
    <w:p>
      <w:pPr>
        <w:pStyle w:val="Heading2"/>
      </w:pPr>
      <w:r>
        <w:t xml:space="preserve">Guidance Context and Margin Trajectory</w:t>
      </w:r>
    </w:p>
    <w:p>
      <w:pPr>
        <w:pStyle w:val="FirstParagraph"/>
      </w:pPr>
      <w:r>
        <w:t xml:space="preserve">Full-year 2026 guidance stands at</w:t>
      </w:r>
      <w:r>
        <w:t xml:space="preserve"> </w:t>
      </w:r>
      <m:oMath>
        <m:r>
          <m:t>4.30</m:t>
        </m:r>
        <m:r>
          <m:rPr>
            <m:sty m:val="p"/>
          </m:rPr>
          <m:t>–</m:t>
        </m:r>
      </m:oMath>
      <w:r>
        <w:rPr>
          <w:b/>
          <w:bCs/>
        </w:rPr>
        <w:t xml:space="preserve">4.34B revenue (25–27% y/y), non-GAAP operating income of</w:t>
      </w:r>
      <w:r>
        <w:rPr>
          <w:b/>
          <w:bCs/>
        </w:rPr>
        <w:t xml:space="preserve"> </w:t>
      </w:r>
      <m:oMath>
        <m:r>
          <m:t>940</m:t>
        </m:r>
        <m:r>
          <m:rPr>
            <m:sty m:val="p"/>
          </m:rPr>
          <m:t>–</m:t>
        </m:r>
      </m:oMath>
      <w:r>
        <w:rPr>
          <w:b/>
          <w:bCs/>
        </w:rPr>
        <w:t xml:space="preserve">980M (22–23% margin), and non-GAAP EPS of</w:t>
      </w:r>
      <w:r>
        <w:rPr>
          <w:b/>
          <w:bCs/>
        </w:rPr>
        <w:t xml:space="preserve"> </w:t>
      </w:r>
      <m:oMath>
        <m:r>
          <m:t>2.36</m:t>
        </m:r>
        <m:r>
          <m:rPr>
            <m:sty m:val="p"/>
          </m:rPr>
          <m:t>–</m:t>
        </m:r>
      </m:oMath>
      <w:r>
        <w:rPr>
          <w:b/>
          <w:bCs/>
        </w:rPr>
        <w:t xml:space="preserve">2.44</w:t>
      </w:r>
      <w:r>
        <w:t xml:space="preserve">. Management has been explicit that its guidance philosophy embeds deliberate conservatism, with</w:t>
      </w:r>
      <w:r>
        <w:t xml:space="preserve"> </w:t>
      </w:r>
      <w:r>
        <w:rPr>
          <w:b/>
          <w:bCs/>
        </w:rPr>
        <w:t xml:space="preserve">extra conservatism specifically applied to its single largest customer</w:t>
      </w:r>
      <w:r>
        <w:t xml:space="preserve"> </w:t>
      </w:r>
      <w:r>
        <w:t xml:space="preserve">— a detail analysts have flagged as a concentration risk worth monitoring given how outsized recent hyperscaler/AI-lab deals have been. Q1 non-GAAP operating margin came in at 22%, with R&amp;D growing fastest (headcount-driven) as the company leans into AI investment; gross margin has hovered around 79–80% and CapEx/capitalized software remains a modest 4–5% of revenue since Datadog runs on public cloud infrastructure rather than owning its own GPU fleets.</w:t>
      </w:r>
    </w:p>
    <w:bookmarkEnd w:id="13"/>
    <w:bookmarkStart w:id="14" w:name="valuation-and-sentiment-check"/>
    <w:p>
      <w:pPr>
        <w:pStyle w:val="Heading2"/>
      </w:pPr>
      <w:r>
        <w:t xml:space="preserve">Valuation and Sentiment Check</w:t>
      </w:r>
    </w:p>
    <w:p>
      <w:pPr>
        <w:pStyle w:val="FirstParagraph"/>
      </w:pPr>
      <w:r>
        <w:t xml:space="preserve">At a share price in the high-</w:t>
      </w:r>
      <m:oMath>
        <m:r>
          <m:t>200</m:t>
        </m:r>
        <m:r>
          <m:t>s</m:t>
        </m:r>
        <m:r>
          <m:rPr>
            <m:sty m:val="p"/>
          </m:rPr>
          <m:t>/</m:t>
        </m:r>
        <m:r>
          <m:t>l</m:t>
        </m:r>
        <m:r>
          <m:t>o</m:t>
        </m:r>
        <m:r>
          <m:t>w</m:t>
        </m:r>
        <m:r>
          <m:rPr>
            <m:sty m:val="p"/>
          </m:rPr>
          <m:t>−</m:t>
        </m:r>
      </m:oMath>
      <w:r>
        <w:t xml:space="preserve">280s, DDOG now trades at roughly</w:t>
      </w:r>
      <w:r>
        <w:t xml:space="preserve"> </w:t>
      </w:r>
      <w:r>
        <w:rPr>
          <w:b/>
          <w:bCs/>
        </w:rPr>
        <w:t xml:space="preserve">20–25x forward revenue guidance</w:t>
      </w:r>
      <w:r>
        <w:t xml:space="preserve"> </w:t>
      </w:r>
      <w:r>
        <w:t xml:space="preserve">— a materially richer multiple than earlier in the year, and one that has already drawn at least one sell-side downgrade to "Neutral" purely on valuation grounds even as the underlying fundamentals were characterized as a standout quarter. With average sell-side price targets (~</w:t>
      </w:r>
      <m:oMath>
        <m:r>
          <m:t>222</m:t>
        </m:r>
        <m:r>
          <m:rPr>
            <m:sty m:val="p"/>
          </m:rPr>
          <m:t>–</m:t>
        </m:r>
      </m:oMath>
      <w:r>
        <w:t xml:space="preserve">276 in various surveys) sitting at or below the current share price, the setup screams "priced for perfection" — a clean beat-and-raise may be needed just to hold the stock, let alone extend gains, especially given this week's evidence (AMD, Uber) that "great" numbers aren't automatically rewarded when expectations are stretched.</w:t>
      </w:r>
    </w:p>
    <w:p>
      <w:pPr>
        <w:pStyle w:val="BodyText"/>
      </w:pPr>
      <w:r>
        <w:t xml:space="preserve">On the ownership side, several</w:t>
      </w:r>
      <w:r>
        <w:t xml:space="preserve"> </w:t>
      </w:r>
      <w:r>
        <w:rPr>
          <w:b/>
          <w:bCs/>
        </w:rPr>
        <w:t xml:space="preserve">Form 4 filings show CEO Olivier Pomel, CTO Alexis Le-Quoc, and other insiders selling stock</w:t>
      </w:r>
      <w:r>
        <w:t xml:space="preserve"> </w:t>
      </w:r>
      <w:r>
        <w:t xml:space="preserve">in recent weeks; these appear to be pre-arranged Rule 10b5-1 sales rather than opportunistic bets against the stock, but the dollar amounts are large and could be a sentiment overhang worth watching in the reaction.</w:t>
      </w:r>
    </w:p>
    <w:bookmarkEnd w:id="14"/>
    <w:bookmarkStart w:id="15" w:name="key-things-to-watch-on-the-call"/>
    <w:p>
      <w:pPr>
        <w:pStyle w:val="Heading2"/>
      </w:pPr>
      <w:r>
        <w:t xml:space="preserve">Key Things to Watch on the Call</w:t>
      </w:r>
    </w:p>
    <w:p>
      <w:pPr>
        <w:pStyle w:val="Compact"/>
        <w:numPr>
          <w:ilvl w:val="0"/>
          <w:numId w:val="1003"/>
        </w:numPr>
      </w:pPr>
      <w:r>
        <w:rPr>
          <w:b/>
          <w:bCs/>
        </w:rPr>
        <w:t xml:space="preserve">Magnitude of the beat vs. the bar</w:t>
      </w:r>
      <w:r>
        <w:t xml:space="preserve"> </w:t>
      </w:r>
      <w:r>
        <w:t xml:space="preserve">— given the stock's run, an in-line quarter may not be enough; the market will be looking for another "all-time-record" ARR-add quarter.</w:t>
      </w:r>
    </w:p>
    <w:p>
      <w:pPr>
        <w:pStyle w:val="Compact"/>
        <w:numPr>
          <w:ilvl w:val="0"/>
          <w:numId w:val="1003"/>
        </w:numPr>
      </w:pPr>
      <w:r>
        <w:rPr>
          <w:b/>
          <w:bCs/>
        </w:rPr>
        <w:t xml:space="preserve">Non-AI/core business durability</w:t>
      </w:r>
      <w:r>
        <w:t xml:space="preserve"> </w:t>
      </w:r>
      <w:r>
        <w:t xml:space="preserve">— is the mid-20s% growth in the broader (ex-AI-native) customer base continuing to accelerate, confirming a genuine cloud-migration reacceleration rather than an AI-concentration story?</w:t>
      </w:r>
    </w:p>
    <w:p>
      <w:pPr>
        <w:pStyle w:val="Compact"/>
        <w:numPr>
          <w:ilvl w:val="0"/>
          <w:numId w:val="1003"/>
        </w:numPr>
      </w:pPr>
      <w:r>
        <w:rPr>
          <w:b/>
          <w:bCs/>
        </w:rPr>
        <w:t xml:space="preserve">Q3 guide and any FY26 raise</w:t>
      </w:r>
      <w:r>
        <w:t xml:space="preserve"> </w:t>
      </w:r>
      <w:r>
        <w:t xml:space="preserve">— magnitude of the raise relative to the Q1 beat-and-raise will be read as a signal of how much conservatism is still embedded.</w:t>
      </w:r>
    </w:p>
    <w:p>
      <w:pPr>
        <w:pStyle w:val="Compact"/>
        <w:numPr>
          <w:ilvl w:val="0"/>
          <w:numId w:val="1003"/>
        </w:numPr>
      </w:pPr>
      <w:r>
        <w:rPr>
          <w:b/>
          <w:bCs/>
        </w:rPr>
        <w:t xml:space="preserve">Net revenue retention trend</w:t>
      </w:r>
      <w:r>
        <w:t xml:space="preserve"> </w:t>
      </w:r>
      <w:r>
        <w:t xml:space="preserve">— does NRR hold/extend above the low-120s%, and does gross retention stay in the mid-to-high 90s?</w:t>
      </w:r>
    </w:p>
    <w:p>
      <w:pPr>
        <w:pStyle w:val="Compact"/>
        <w:numPr>
          <w:ilvl w:val="0"/>
          <w:numId w:val="1003"/>
        </w:numPr>
      </w:pPr>
      <w:r>
        <w:rPr>
          <w:b/>
          <w:bCs/>
        </w:rPr>
        <w:t xml:space="preserve">Large-customer/training-workload concentration</w:t>
      </w:r>
      <w:r>
        <w:t xml:space="preserve"> </w:t>
      </w:r>
      <w:r>
        <w:t xml:space="preserve">— any additional color on the size and ramp of frontier-lab/hyperscaler training deals, and whether the "higher conservatism" applied to the largest customer changes.</w:t>
      </w:r>
    </w:p>
    <w:p>
      <w:pPr>
        <w:pStyle w:val="Compact"/>
        <w:numPr>
          <w:ilvl w:val="0"/>
          <w:numId w:val="1003"/>
        </w:numPr>
      </w:pPr>
      <w:r>
        <w:rPr>
          <w:b/>
          <w:bCs/>
        </w:rPr>
        <w:t xml:space="preserve">Margin trajectory</w:t>
      </w:r>
      <w:r>
        <w:t xml:space="preserve"> </w:t>
      </w:r>
      <w:r>
        <w:t xml:space="preserve">— opex growth (particularly R&amp;D headcount for AI investment) versus revenue growth, and whether operating margin guidance cadence holds.</w:t>
      </w:r>
    </w:p>
    <w:p>
      <w:pPr>
        <w:pStyle w:val="Compact"/>
        <w:numPr>
          <w:ilvl w:val="0"/>
          <w:numId w:val="1003"/>
        </w:numPr>
      </w:pPr>
      <w:r>
        <w:rPr>
          <w:b/>
          <w:bCs/>
        </w:rPr>
        <w:t xml:space="preserve">Competitive/consolidation commentary</w:t>
      </w:r>
      <w:r>
        <w:t xml:space="preserve"> </w:t>
      </w:r>
      <w:r>
        <w:t xml:space="preserve">— continued displacement of open-source and point-solution tooling (including inside hyperscalers themselves) versus emerging hyperscaler-native observability offerings that could pressure long-term pricing.</w:t>
      </w:r>
    </w:p>
    <w:p>
      <w:pPr>
        <w:pStyle w:val="Compact"/>
        <w:numPr>
          <w:ilvl w:val="0"/>
          <w:numId w:val="1003"/>
        </w:numPr>
      </w:pPr>
      <w:r>
        <w:rPr>
          <w:b/>
          <w:bCs/>
        </w:rPr>
        <w:t xml:space="preserve">Macro sensitivity</w:t>
      </w:r>
      <w:r>
        <w:t xml:space="preserve"> </w:t>
      </w:r>
      <w:r>
        <w:t xml:space="preserve">— any change in commentary around consumer/e-commerce or travel verticals, which management said in Q1 had shown no discernible softening yet.</w:t>
      </w:r>
    </w:p>
    <w:p>
      <w:r>
        <w:pict>
          <v:rect style="width:0;height:1.5pt" o:hralign="center" o:hrstd="t" o:hr="t"/>
        </w:pict>
      </w:r>
    </w:p>
    <w:p>
      <w:pPr>
        <w:pStyle w:val="FirstParagraph"/>
      </w:pPr>
      <w:r>
        <w:rPr>
          <w:b/>
          <w:bCs/>
        </w:rPr>
        <w:t xml:space="preserve">Bottom line:</w:t>
      </w:r>
      <w:r>
        <w:t xml:space="preserve"> </w:t>
      </w:r>
      <w:r>
        <w:t xml:space="preserve">Datadog goes into Q2 2026 earnings as one of the market's clearest "AI-infrastructure-adjacent" software winners, backed by genuine, broad-based reacceleration (not just an AI-native niche story) and a string of record bookings quarters. But after nearly doubling since the last report, the stock is now pricing in continued outperformance, leaving little room for anything short of another strong beat-and-raise — and this week's market reaction to AMD and Uber is a reminder that even good results can disappoint when expectations run this hot.</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2026-08-06T00:06:09Z</dcterms:created>
  <dcterms:modified xsi:type="dcterms:W3CDTF">2026-08-06T00:06:09Z</dcterms:modified>
</cp:coreProperties>
</file>

<file path=docProps/custom.xml><?xml version="1.0" encoding="utf-8"?>
<Properties xmlns="http://schemas.openxmlformats.org/officeDocument/2006/custom-properties" xmlns:vt="http://schemas.openxmlformats.org/officeDocument/2006/docPropsVTypes"/>
</file>