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datadog-ddog-q2-2026-earnings-preview"/>
    <w:p>
      <w:pPr>
        <w:pStyle w:val="Heading1"/>
      </w:pPr>
      <w:r>
        <w:t xml:space="preserve">Datadog (DDOG) Q2 2026 Earnings Preview</w:t>
      </w:r>
    </w:p>
    <w:p>
      <w:pPr>
        <w:pStyle w:val="FirstParagraph"/>
      </w:pPr>
      <w:r>
        <w:rPr>
          <w:b/>
          <w:bCs/>
        </w:rPr>
        <w:t xml:space="preserve">Report date:</w:t>
      </w:r>
      <w:r>
        <w:t xml:space="preserve"> </w:t>
      </w:r>
      <w:r>
        <w:t xml:space="preserve">Thursday, August 6, 2026, before the market opens</w:t>
      </w:r>
      <w:r>
        <w:br/>
      </w:r>
      <w:r>
        <w:rPr>
          <w:b/>
          <w:bCs/>
        </w:rPr>
        <w:t xml:space="preserve">Conference call:</w:t>
      </w:r>
      <w:r>
        <w:t xml:space="preserve"> </w:t>
      </w:r>
      <w:r>
        <w:t xml:space="preserve">8:00 a.m. ET</w:t>
      </w:r>
      <w:r>
        <w:br/>
      </w:r>
      <w:r>
        <w:rPr>
          <w:b/>
          <w:bCs/>
        </w:rPr>
        <w:t xml:space="preserve">Closing share price, August 5:</w:t>
      </w:r>
      <w:r>
        <w:t xml:space="preserve"> </w:t>
      </w:r>
      <w:r>
        <w:t xml:space="preserve">approximately</w:t>
      </w:r>
      <w:r>
        <w:t xml:space="preserve"> </w:t>
      </w:r>
      <w:r>
        <w:rPr>
          <w:b/>
          <w:bCs/>
        </w:rPr>
        <w:t xml:space="preserve">$283</w:t>
      </w:r>
      <w:r>
        <w:t xml:space="preserve"> </w:t>
      </w:r>
      <w:r>
        <w:t xml:space="preserve">(</w:t>
      </w:r>
      <w:hyperlink r:id="rId9">
        <w:r>
          <w:rPr>
            <w:rStyle w:val="Hyperlink"/>
          </w:rPr>
          <w:t xml:space="preserve">marketbeat.com</w:t>
        </w:r>
      </w:hyperlink>
      <w:r>
        <w:t xml:space="preserve">)</w:t>
      </w:r>
    </w:p>
    <w:bookmarkStart w:id="11" w:name="investment-view-going-into-the-report"/>
    <w:p>
      <w:pPr>
        <w:pStyle w:val="Heading2"/>
      </w:pPr>
      <w:r>
        <w:t xml:space="preserve">Investment view going into the report</w:t>
      </w:r>
    </w:p>
    <w:p>
      <w:pPr>
        <w:pStyle w:val="FirstParagraph"/>
      </w:pPr>
      <w:r>
        <w:t xml:space="preserve">This is a</w:t>
      </w:r>
      <w:r>
        <w:t xml:space="preserve"> </w:t>
      </w:r>
      <w:r>
        <w:rPr>
          <w:b/>
          <w:bCs/>
        </w:rPr>
        <w:t xml:space="preserve">high-expectations earnings event</w:t>
      </w:r>
      <w:r>
        <w:t xml:space="preserve">.</w:t>
      </w:r>
    </w:p>
    <w:p>
      <w:pPr>
        <w:pStyle w:val="BodyText"/>
      </w:pPr>
      <w:r>
        <w:t xml:space="preserve">Datadog enters Q2 with unusually strong operating momentum: Q1 revenue accelerated to 32%, non-AI customer growth reached the mid-20% range, net retention improved into the low 120s, and AI-native customers continued to grow substantially faster than the rest of the business. Billings grew 37%, while RPO and current RPO grew approximately 51% and in the mid-40% range, respectively. (</w:t>
      </w:r>
      <w:hyperlink r:id="rId10">
        <w:r>
          <w:rPr>
            <w:rStyle w:val="Hyperlink"/>
          </w:rPr>
          <w:t xml:space="preserve">finance.yahoo.com</w:t>
        </w:r>
      </w:hyperlink>
      <w:r>
        <w:t xml:space="preserve">)</w:t>
      </w:r>
    </w:p>
    <w:p>
      <w:pPr>
        <w:pStyle w:val="BodyText"/>
      </w:pPr>
      <w:r>
        <w:t xml:space="preserve">But much of that strength is now reflected in the stock. DDOG has more than doubled from its January 2 close and is almost 100% above its pre-Q1-earnings price. At roughly $283, an approximate market capitalization of $100 billion and around $4 billion of net cash, the stock trades near</w:t>
      </w:r>
      <w:r>
        <w:t xml:space="preserve"> </w:t>
      </w:r>
      <w:r>
        <w:rPr>
          <w:b/>
          <w:bCs/>
        </w:rPr>
        <w:t xml:space="preserve">22 times current-year revenue</w:t>
      </w:r>
      <w:r>
        <w:t xml:space="preserve"> </w:t>
      </w:r>
      <w:r>
        <w:t xml:space="preserve">using the prevailing FY2026 estimate. That valuation leaves little room for an ordinary beat.</w:t>
      </w:r>
    </w:p>
    <w:p>
      <w:pPr>
        <w:pStyle w:val="BodyText"/>
      </w:pPr>
      <w:r>
        <w:rPr>
          <w:b/>
          <w:bCs/>
        </w:rPr>
        <w:t xml:space="preserve">The key question is therefore not whether Datadog beats its Q2 guidance. It is whether management can demonstrate that 30%-class growth is durable into the second half of 2026 and beyond.</w:t>
      </w:r>
    </w:p>
    <w:p>
      <w:r>
        <w:pict>
          <v:rect style="width:0;height:1.5pt" o:hralign="center" o:hrstd="t" o:hr="t"/>
        </w:pict>
      </w:r>
    </w:p>
    <w:bookmarkEnd w:id="11"/>
    <w:bookmarkStart w:id="12" w:name="headline-expectations"/>
    <w:p>
      <w:pPr>
        <w:pStyle w:val="Heading2"/>
      </w:pPr>
      <w:r>
        <w:t xml:space="preserve">Headline expectations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Q2 2026 company guidance</w:t>
            </w:r>
          </w:p>
        </w:tc>
        <w:tc>
          <w:tcPr/>
          <w:p>
            <w:pPr>
              <w:pStyle w:val="Compact"/>
              <w:jc w:val="right"/>
            </w:pPr>
            <w:r>
              <w:t xml:space="preserve">Published consensus</w:t>
            </w:r>
          </w:p>
        </w:tc>
        <w:tc>
          <w:tcPr/>
          <w:p>
            <w:pPr>
              <w:pStyle w:val="Compact"/>
              <w:jc w:val="right"/>
            </w:pPr>
            <w:r>
              <w:t xml:space="preserve">Q2 2025 actual</w:t>
            </w:r>
          </w:p>
        </w:tc>
        <w:tc>
          <w:tcPr/>
          <w:p>
            <w:pPr>
              <w:pStyle w:val="Compact"/>
            </w:pPr>
            <w:r>
              <w:t xml:space="preserve">What matters</w:t>
            </w:r>
          </w:p>
        </w:tc>
      </w:tr>
      <w:tr>
        <w:tc>
          <w:tcPr/>
          <w:p>
            <w:pPr>
              <w:pStyle w:val="Compact"/>
            </w:pPr>
            <w:r>
              <w:t xml:space="preserve">Revenue</w:t>
            </w:r>
          </w:p>
        </w:tc>
        <w:tc>
          <w:tcPr/>
          <w:p>
            <w:pPr>
              <w:pStyle w:val="Compact"/>
              <w:jc w:val="right"/>
            </w:pPr>
            <m:oMath>
              <m:r>
                <m:t>1.070</m:t>
              </m:r>
              <m:r>
                <m:t>B</m:t>
              </m:r>
              <m:r>
                <m:rPr>
                  <m:sty m:val="p"/>
                </m:rPr>
                <m:t>–</m:t>
              </m:r>
            </m:oMath>
            <w:r>
              <w:rPr>
                <w:b/>
                <w:bCs/>
              </w:rPr>
              <w:t xml:space="preserve">1.080B</w:t>
            </w:r>
          </w:p>
        </w:tc>
        <w:tc>
          <w:tcPr/>
          <w:p>
            <w:pPr>
              <w:pStyle w:val="Compact"/>
              <w:jc w:val="right"/>
            </w:pPr>
            <w:r>
              <w:t xml:space="preserve">About</w:t>
            </w:r>
            <w:r>
              <w:t xml:space="preserve"> </w:t>
            </w:r>
            <w:r>
              <w:rPr>
                <w:b/>
                <w:bCs/>
              </w:rPr>
              <w:t xml:space="preserve">$1.08B</w:t>
            </w:r>
          </w:p>
        </w:tc>
        <w:tc>
          <w:tcPr/>
          <w:p>
            <w:pPr>
              <w:pStyle w:val="Compact"/>
              <w:jc w:val="right"/>
            </w:pPr>
            <w:r>
              <w:t xml:space="preserve">$826.8M</w:t>
            </w:r>
          </w:p>
        </w:tc>
        <w:tc>
          <w:tcPr/>
          <w:p>
            <w:pPr>
              <w:pStyle w:val="Compact"/>
            </w:pPr>
            <w:r>
              <w:t xml:space="preserve">Roughly 30% YoY growth</w:t>
            </w:r>
          </w:p>
        </w:tc>
      </w:tr>
      <w:tr>
        <w:tc>
          <w:tcPr/>
          <w:p>
            <w:pPr>
              <w:pStyle w:val="Compact"/>
            </w:pPr>
            <w:r>
              <w:t xml:space="preserve">Non-GAAP EPS</w:t>
            </w:r>
          </w:p>
        </w:tc>
        <w:tc>
          <w:tcPr/>
          <w:p>
            <w:pPr>
              <w:pStyle w:val="Compact"/>
              <w:jc w:val="right"/>
            </w:pPr>
            <m:oMath>
              <m:r>
                <m:t>0.57</m:t>
              </m:r>
              <m:r>
                <m:rPr>
                  <m:sty m:val="p"/>
                </m:rPr>
                <m:t>–</m:t>
              </m:r>
            </m:oMath>
            <w:r>
              <w:rPr>
                <w:b/>
                <w:bCs/>
              </w:rPr>
              <w:t xml:space="preserve">0.59</w:t>
            </w:r>
          </w:p>
        </w:tc>
        <w:tc>
          <w:tcPr/>
          <w:p>
            <w:pPr>
              <w:pStyle w:val="Compact"/>
              <w:jc w:val="right"/>
            </w:pPr>
            <w:r>
              <w:t xml:space="preserve">About</w:t>
            </w:r>
            <w:r>
              <w:t xml:space="preserve"> </w:t>
            </w:r>
            <w:r>
              <w:rPr>
                <w:b/>
                <w:bCs/>
              </w:rPr>
              <w:t xml:space="preserve">$0.58</w:t>
            </w:r>
          </w:p>
        </w:tc>
        <w:tc>
          <w:tcPr/>
          <w:p>
            <w:pPr>
              <w:pStyle w:val="Compact"/>
              <w:jc w:val="right"/>
            </w:pPr>
            <w:r>
              <w:t xml:space="preserve">$0.46</w:t>
            </w:r>
          </w:p>
        </w:tc>
        <w:tc>
          <w:tcPr/>
          <w:p>
            <w:pPr>
              <w:pStyle w:val="Compact"/>
            </w:pPr>
            <w:r>
              <w:t xml:space="preserve">Margin performance matters more than a small EPS beat</w:t>
            </w:r>
          </w:p>
        </w:tc>
      </w:tr>
      <w:tr>
        <w:tc>
          <w:tcPr/>
          <w:p>
            <w:pPr>
              <w:pStyle w:val="Compact"/>
            </w:pPr>
            <w:r>
              <w:t xml:space="preserve">Non-GAAP operating income</w:t>
            </w:r>
          </w:p>
        </w:tc>
        <w:tc>
          <w:tcPr/>
          <w:p>
            <w:pPr>
              <w:pStyle w:val="Compact"/>
              <w:jc w:val="right"/>
            </w:pPr>
            <m:oMath>
              <m:r>
                <m:t>225</m:t>
              </m:r>
              <m:r>
                <m:t>M</m:t>
              </m:r>
              <m:r>
                <m:rPr>
                  <m:sty m:val="p"/>
                </m:rPr>
                <m:t>–</m:t>
              </m:r>
            </m:oMath>
            <w:r>
              <w:rPr>
                <w:b/>
                <w:bCs/>
              </w:rPr>
              <w:t xml:space="preserve">235M</w:t>
            </w:r>
          </w:p>
        </w:tc>
        <w:tc>
          <w:tcPr/>
          <w:p>
            <w:pPr>
              <w:pStyle w:val="Compact"/>
              <w:jc w:val="right"/>
            </w:pPr>
            <w:r>
              <w:t xml:space="preserve">—</w:t>
            </w:r>
          </w:p>
        </w:tc>
        <w:tc>
          <w:tcPr/>
          <w:p>
            <w:pPr>
              <w:pStyle w:val="Compact"/>
              <w:jc w:val="right"/>
            </w:pPr>
            <w:r>
              <w:t xml:space="preserve">$164M</w:t>
            </w:r>
          </w:p>
        </w:tc>
        <w:tc>
          <w:tcPr/>
          <w:p>
            <w:pPr>
              <w:pStyle w:val="Compact"/>
            </w:pPr>
            <w:r>
              <w:t xml:space="preserve">Implies a 21%–22% margin</w:t>
            </w:r>
          </w:p>
        </w:tc>
      </w:tr>
      <w:tr>
        <w:tc>
          <w:tcPr/>
          <w:p>
            <w:pPr>
              <w:pStyle w:val="Compact"/>
            </w:pPr>
            <w:r>
              <w:t xml:space="preserve">FY2026 revenue</w:t>
            </w:r>
          </w:p>
        </w:tc>
        <w:tc>
          <w:tcPr/>
          <w:p>
            <w:pPr>
              <w:pStyle w:val="Compact"/>
              <w:jc w:val="right"/>
            </w:pPr>
            <m:oMath>
              <m:r>
                <m:t>4.30</m:t>
              </m:r>
              <m:r>
                <m:t>B</m:t>
              </m:r>
              <m:r>
                <m:rPr>
                  <m:sty m:val="p"/>
                </m:rPr>
                <m:t>–</m:t>
              </m:r>
            </m:oMath>
            <w:r>
              <w:rPr>
                <w:b/>
                <w:bCs/>
              </w:rPr>
              <w:t xml:space="preserve">4.34B</w:t>
            </w:r>
          </w:p>
        </w:tc>
        <w:tc>
          <w:tcPr/>
          <w:p>
            <w:pPr>
              <w:pStyle w:val="Compact"/>
              <w:jc w:val="right"/>
            </w:pPr>
            <w:r>
              <w:t xml:space="preserve">About</w:t>
            </w:r>
            <w:r>
              <w:t xml:space="preserve"> </w:t>
            </w:r>
            <w:r>
              <w:rPr>
                <w:b/>
                <w:bCs/>
              </w:rPr>
              <w:t xml:space="preserve">$4.35B</w:t>
            </w:r>
          </w:p>
        </w:tc>
        <w:tc>
          <w:tcPr/>
          <w:p>
            <w:pPr>
              <w:pStyle w:val="Compact"/>
              <w:jc w:val="right"/>
            </w:pPr>
            <w:r>
              <w:t xml:space="preserve">$3.43B FY2025</w:t>
            </w:r>
          </w:p>
        </w:tc>
        <w:tc>
          <w:tcPr/>
          <w:p>
            <w:pPr>
              <w:pStyle w:val="Compact"/>
            </w:pPr>
            <w:r>
              <w:t xml:space="preserve">Investors will expect another raise</w:t>
            </w:r>
          </w:p>
        </w:tc>
      </w:tr>
      <w:tr>
        <w:tc>
          <w:tcPr/>
          <w:p>
            <w:pPr>
              <w:pStyle w:val="Compact"/>
            </w:pPr>
            <w:r>
              <w:t xml:space="preserve">FY2026 non-GAAP EPS</w:t>
            </w:r>
          </w:p>
        </w:tc>
        <w:tc>
          <w:tcPr/>
          <w:p>
            <w:pPr>
              <w:pStyle w:val="Compact"/>
              <w:jc w:val="right"/>
            </w:pPr>
            <m:oMath>
              <m:r>
                <m:t>2.36</m:t>
              </m:r>
              <m:r>
                <m:rPr>
                  <m:sty m:val="p"/>
                </m:rPr>
                <m:t>–</m:t>
              </m:r>
            </m:oMath>
            <w:r>
              <w:rPr>
                <w:b/>
                <w:bCs/>
              </w:rPr>
              <w:t xml:space="preserve">2.44</w:t>
            </w:r>
          </w:p>
        </w:tc>
        <w:tc>
          <w:tcPr/>
          <w:p>
            <w:pPr>
              <w:pStyle w:val="Compact"/>
              <w:jc w:val="right"/>
            </w:pPr>
            <w:r>
              <w:t xml:space="preserve">About</w:t>
            </w:r>
            <w:r>
              <w:t xml:space="preserve"> </w:t>
            </w:r>
            <w:r>
              <w:rPr>
                <w:b/>
                <w:bCs/>
              </w:rPr>
              <w:t xml:space="preserve">$2.42</w:t>
            </w:r>
          </w:p>
        </w:tc>
        <w:tc>
          <w:tcPr/>
          <w:p>
            <w:pPr>
              <w:pStyle w:val="Compact"/>
              <w:jc w:val="right"/>
            </w:pPr>
            <w:r>
              <w:t xml:space="preserve">—</w:t>
            </w:r>
          </w:p>
        </w:tc>
        <w:tc>
          <w:tcPr/>
          <w:p>
            <w:pPr>
              <w:pStyle w:val="Compact"/>
            </w:pPr>
            <w:r>
              <w:t xml:space="preserve">Upside depends partly on operating leverage</w:t>
            </w:r>
          </w:p>
        </w:tc>
      </w:tr>
    </w:tbl>
    <w:p>
      <w:pPr>
        <w:pStyle w:val="BodyText"/>
      </w:pPr>
      <w:r>
        <w:t xml:space="preserve">Published estimates place Q2 consensus near $1.08 billion of revenue and $0.58 of non-GAAP EPS, effectively at the midpoint-to-high end of management’s guidance. (</w:t>
      </w:r>
      <w:hyperlink r:id="rId9">
        <w:r>
          <w:rPr>
            <w:rStyle w:val="Hyperlink"/>
          </w:rPr>
          <w:t xml:space="preserve">marketbeat.com</w:t>
        </w:r>
      </w:hyperlink>
      <w:r>
        <w:t xml:space="preserve">)</w:t>
      </w:r>
    </w:p>
    <w:p>
      <w:pPr>
        <w:pStyle w:val="BodyText"/>
      </w:pPr>
      <w:r>
        <w:t xml:space="preserve">Management’s Q2 operating-income guidance includes approximately</w:t>
      </w:r>
      <w:r>
        <w:t xml:space="preserve"> </w:t>
      </w:r>
      <w:r>
        <w:rPr>
          <w:b/>
          <w:bCs/>
        </w:rPr>
        <w:t xml:space="preserve">$15 million of expense associated with the DASH customer conference</w:t>
      </w:r>
      <w:r>
        <w:t xml:space="preserve">, creating a modestly easier margin comparison when looking past Q2.</w:t>
      </w:r>
    </w:p>
    <w:p>
      <w:r>
        <w:pict>
          <v:rect style="width:0;height:1.5pt" o:hralign="center" o:hrstd="t" o:hr="t"/>
        </w:pict>
      </w:r>
    </w:p>
    <w:bookmarkEnd w:id="12"/>
    <w:bookmarkStart w:id="24" w:name="what-investors-should-focus-on"/>
    <w:p>
      <w:pPr>
        <w:pStyle w:val="Heading2"/>
      </w:pPr>
      <w:r>
        <w:t xml:space="preserve">What investors should focus on</w:t>
      </w:r>
    </w:p>
    <w:bookmarkStart w:id="13" w:name="X6ab0542fdb9bf37d8abb1140a73538af1fcee8b"/>
    <w:p>
      <w:pPr>
        <w:pStyle w:val="Heading3"/>
      </w:pPr>
      <w:r>
        <w:t xml:space="preserve">1. The Q3 guide is more important than the Q2 beat</w:t>
      </w:r>
    </w:p>
    <w:p>
      <w:pPr>
        <w:pStyle w:val="FirstParagraph"/>
      </w:pPr>
      <w:r>
        <w:t xml:space="preserve">Q1 produced record sequential ARR additions, record new-logo bookings and the strongest sequential usage growth from existing customers since early 2022. Management also said those healthy trends continued into April.</w:t>
      </w:r>
    </w:p>
    <w:p>
      <w:pPr>
        <w:pStyle w:val="BodyText"/>
      </w:pPr>
      <w:r>
        <w:t xml:space="preserve">That sets a high bar for the Q3 outlook. A routine Q2 beat accompanied by conservative or merely in-line Q3 guidance could disappoint because the market is already pricing in sustained acceleration.</w:t>
      </w:r>
    </w:p>
    <w:p>
      <w:pPr>
        <w:pStyle w:val="BodyText"/>
      </w:pPr>
      <w:r>
        <w:t xml:space="preserve">My rough framework:</w:t>
      </w:r>
    </w:p>
    <w:p>
      <w:pPr>
        <w:pStyle w:val="Compact"/>
        <w:numPr>
          <w:ilvl w:val="0"/>
          <w:numId w:val="1001"/>
        </w:numPr>
      </w:pPr>
      <w:r>
        <w:rPr>
          <w:b/>
          <w:bCs/>
        </w:rPr>
        <w:t xml:space="preserve">Bullish:</w:t>
      </w:r>
      <w:r>
        <w:t xml:space="preserve"> </w:t>
      </w:r>
      <w:r>
        <w:t xml:space="preserve">Q2 revenue above approximately</w:t>
      </w:r>
      <w:r>
        <w:t xml:space="preserve"> </w:t>
      </w:r>
      <m:oMath>
        <m:r>
          <m:t>1.10</m:t>
        </m:r>
        <m:r>
          <m:t>b</m:t>
        </m:r>
        <m:r>
          <m:t>i</m:t>
        </m:r>
        <m:r>
          <m:t>l</m:t>
        </m:r>
        <m:r>
          <m:t>l</m:t>
        </m:r>
        <m:r>
          <m:t>i</m:t>
        </m:r>
        <m:r>
          <m:t>o</m:t>
        </m:r>
        <m:r>
          <m:t>n</m:t>
        </m:r>
        <m:r>
          <m:rPr>
            <m:sty m:val="p"/>
          </m:rPr>
          <m:t>*</m:t>
        </m:r>
        <m:r>
          <m:rPr>
            <m:sty m:val="p"/>
          </m:rPr>
          <m:t>*</m:t>
        </m:r>
        <m:r>
          <m:rPr>
            <m:sty m:val="p"/>
          </m:rPr>
          <m:t>,</m:t>
        </m:r>
        <m:r>
          <m:t>f</m:t>
        </m:r>
        <m:r>
          <m:t>o</m:t>
        </m:r>
        <m:r>
          <m:t>l</m:t>
        </m:r>
        <m:r>
          <m:t>l</m:t>
        </m:r>
        <m:r>
          <m:t>o</m:t>
        </m:r>
        <m:r>
          <m:t>w</m:t>
        </m:r>
        <m:r>
          <m:t>e</m:t>
        </m:r>
        <m:r>
          <m:t>d</m:t>
        </m:r>
        <m:r>
          <m:t>b</m:t>
        </m:r>
        <m:r>
          <m:t>y</m:t>
        </m:r>
        <m:r>
          <m:t>a</m:t>
        </m:r>
        <m:r>
          <m:t>Q</m:t>
        </m:r>
        <m:r>
          <m:t>3</m:t>
        </m:r>
        <m:r>
          <m:t>g</m:t>
        </m:r>
        <m:r>
          <m:t>u</m:t>
        </m:r>
        <m:r>
          <m:t>i</m:t>
        </m:r>
        <m:r>
          <m:t>d</m:t>
        </m:r>
        <m:r>
          <m:t>e</m:t>
        </m:r>
        <m:r>
          <m:t>c</m:t>
        </m:r>
        <m:r>
          <m:t>l</m:t>
        </m:r>
        <m:r>
          <m:t>e</m:t>
        </m:r>
        <m:r>
          <m:t>a</m:t>
        </m:r>
        <m:r>
          <m:t>r</m:t>
        </m:r>
        <m:r>
          <m:t>l</m:t>
        </m:r>
        <m:r>
          <m:t>y</m:t>
        </m:r>
        <m:r>
          <m:t>a</m:t>
        </m:r>
        <m:r>
          <m:t>b</m:t>
        </m:r>
        <m:r>
          <m:t>o</m:t>
        </m:r>
        <m:r>
          <m:t>v</m:t>
        </m:r>
        <m:r>
          <m:t>e</m:t>
        </m:r>
        <m:r>
          <m:rPr>
            <m:sty m:val="p"/>
          </m:rPr>
          <m:t>*</m:t>
        </m:r>
        <m:r>
          <m:rPr>
            <m:sty m:val="p"/>
          </m:rPr>
          <m:t>*</m:t>
        </m:r>
      </m:oMath>
      <w:r>
        <w:rPr>
          <w:b/>
          <w:bCs/>
        </w:rPr>
        <w:t xml:space="preserve">1.12 billion</w:t>
      </w:r>
      <w:r>
        <w:t xml:space="preserve">.</w:t>
      </w:r>
    </w:p>
    <w:p>
      <w:pPr>
        <w:pStyle w:val="Compact"/>
        <w:numPr>
          <w:ilvl w:val="0"/>
          <w:numId w:val="1001"/>
        </w:numPr>
      </w:pPr>
      <w:r>
        <w:rPr>
          <w:b/>
          <w:bCs/>
        </w:rPr>
        <w:t xml:space="preserve">Acceptable:</w:t>
      </w:r>
      <w:r>
        <w:t xml:space="preserve"> </w:t>
      </w:r>
      <w:r>
        <w:t xml:space="preserve">Q2 between</w:t>
      </w:r>
      <w:r>
        <w:t xml:space="preserve"> </w:t>
      </w:r>
      <w:r>
        <w:rPr>
          <w:b/>
          <w:bCs/>
        </w:rPr>
        <w:t xml:space="preserve">$1.08 billion and</w:t>
      </w:r>
      <w:r>
        <w:rPr>
          <w:b/>
          <w:bCs/>
        </w:rPr>
        <w:t xml:space="preserve"> </w:t>
      </w:r>
      <m:oMath>
        <m:r>
          <m:t>1.10</m:t>
        </m:r>
        <m:r>
          <m:t>b</m:t>
        </m:r>
        <m:r>
          <m:t>i</m:t>
        </m:r>
        <m:r>
          <m:t>l</m:t>
        </m:r>
        <m:r>
          <m:t>l</m:t>
        </m:r>
        <m:r>
          <m:t>i</m:t>
        </m:r>
        <m:r>
          <m:t>o</m:t>
        </m:r>
        <m:r>
          <m:t>n</m:t>
        </m:r>
        <m:r>
          <m:rPr>
            <m:sty m:val="p"/>
          </m:rPr>
          <m:t>*</m:t>
        </m:r>
        <m:r>
          <m:rPr>
            <m:sty m:val="p"/>
          </m:rPr>
          <m:t>*</m:t>
        </m:r>
        <m:r>
          <m:rPr>
            <m:sty m:val="p"/>
          </m:rPr>
          <m:t>,</m:t>
        </m:r>
        <m:r>
          <m:t>w</m:t>
        </m:r>
        <m:r>
          <m:t>i</m:t>
        </m:r>
        <m:r>
          <m:t>t</m:t>
        </m:r>
        <m:r>
          <m:t>h</m:t>
        </m:r>
        <m:r>
          <m:t>a</m:t>
        </m:r>
        <m:r>
          <m:t>Q</m:t>
        </m:r>
        <m:r>
          <m:t>3</m:t>
        </m:r>
        <m:r>
          <m:t>g</m:t>
        </m:r>
        <m:r>
          <m:t>u</m:t>
        </m:r>
        <m:r>
          <m:t>i</m:t>
        </m:r>
        <m:r>
          <m:t>d</m:t>
        </m:r>
        <m:r>
          <m:t>e</m:t>
        </m:r>
        <m:r>
          <m:t>a</m:t>
        </m:r>
        <m:r>
          <m:t>r</m:t>
        </m:r>
        <m:r>
          <m:t>o</m:t>
        </m:r>
        <m:r>
          <m:t>u</m:t>
        </m:r>
        <m:r>
          <m:t>n</m:t>
        </m:r>
        <m:r>
          <m:t>d</m:t>
        </m:r>
        <m:r>
          <m:rPr>
            <m:sty m:val="p"/>
          </m:rPr>
          <m:t>*</m:t>
        </m:r>
        <m:r>
          <m:rPr>
            <m:sty m:val="p"/>
          </m:rPr>
          <m:t>*</m:t>
        </m:r>
      </m:oMath>
      <w:r>
        <w:rPr>
          <w:b/>
          <w:bCs/>
        </w:rPr>
        <w:t xml:space="preserve">1.10 billion–$1.12 billion</w:t>
      </w:r>
      <w:r>
        <w:t xml:space="preserve"> </w:t>
      </w:r>
      <w:r>
        <w:t xml:space="preserve">and positive qualitative commentary.</w:t>
      </w:r>
    </w:p>
    <w:p>
      <w:pPr>
        <w:pStyle w:val="Compact"/>
        <w:numPr>
          <w:ilvl w:val="0"/>
          <w:numId w:val="1001"/>
        </w:numPr>
      </w:pPr>
      <w:r>
        <w:rPr>
          <w:b/>
          <w:bCs/>
        </w:rPr>
        <w:t xml:space="preserve">Disappointing:</w:t>
      </w:r>
      <w:r>
        <w:t xml:space="preserve"> </w:t>
      </w:r>
      <w:r>
        <w:t xml:space="preserve">Revenue near the original guidance midpoint and/or a Q3 guide below roughly</w:t>
      </w:r>
      <w:r>
        <w:t xml:space="preserve"> </w:t>
      </w:r>
      <w:r>
        <w:rPr>
          <w:b/>
          <w:bCs/>
        </w:rPr>
        <w:t xml:space="preserve">$1.10 billion</w:t>
      </w:r>
      <w:r>
        <w:t xml:space="preserve">.</w:t>
      </w:r>
    </w:p>
    <w:p>
      <w:pPr>
        <w:pStyle w:val="FirstParagraph"/>
      </w:pPr>
      <w:r>
        <w:t xml:space="preserve">These are investor-expectation thresholds, not formal consensus estimates.</w:t>
      </w:r>
    </w:p>
    <w:bookmarkEnd w:id="13"/>
    <w:bookmarkStart w:id="14" w:name="X2c886d83f75797845678fce95294c7c9233c91a"/>
    <w:p>
      <w:pPr>
        <w:pStyle w:val="Heading3"/>
      </w:pPr>
      <w:r>
        <w:t xml:space="preserve">2. Is growth still broad-based?</w:t>
      </w:r>
    </w:p>
    <w:p>
      <w:pPr>
        <w:pStyle w:val="FirstParagraph"/>
      </w:pPr>
      <w:r>
        <w:t xml:space="preserve">The best part of Q1 was not simply the AI-native contribution. Revenue from customers outside the AI-native cohort accelerated to the</w:t>
      </w:r>
      <w:r>
        <w:t xml:space="preserve"> </w:t>
      </w:r>
      <w:r>
        <w:rPr>
          <w:b/>
          <w:bCs/>
        </w:rPr>
        <w:t xml:space="preserve">mid-20% range</w:t>
      </w:r>
      <w:r>
        <w:t xml:space="preserve">, up from 23% in Q4 and 19% a year earlier. AI-native customers continued to grow much faster, with 22 spending more than $1 million annually and five spending more than $10 million. (</w:t>
      </w:r>
      <w:hyperlink r:id="rId10">
        <w:r>
          <w:rPr>
            <w:rStyle w:val="Hyperlink"/>
          </w:rPr>
          <w:t xml:space="preserve">finance.yahoo.com</w:t>
        </w:r>
      </w:hyperlink>
      <w:r>
        <w:t xml:space="preserve">)</w:t>
      </w:r>
    </w:p>
    <w:p>
      <w:pPr>
        <w:pStyle w:val="BodyText"/>
      </w:pPr>
      <w:r>
        <w:t xml:space="preserve">For Q2, investors should listen for:</w:t>
      </w:r>
    </w:p>
    <w:p>
      <w:pPr>
        <w:pStyle w:val="Compact"/>
        <w:numPr>
          <w:ilvl w:val="0"/>
          <w:numId w:val="1002"/>
        </w:numPr>
      </w:pPr>
      <w:r>
        <w:t xml:space="preserve">Whether non-AI growth remains in the mid-20s or accelerates further.</w:t>
      </w:r>
    </w:p>
    <w:p>
      <w:pPr>
        <w:pStyle w:val="Compact"/>
        <w:numPr>
          <w:ilvl w:val="0"/>
          <w:numId w:val="1002"/>
        </w:numPr>
      </w:pPr>
      <w:r>
        <w:t xml:space="preserve">Usage trends across enterprise, mid-market and SMB customers.</w:t>
      </w:r>
    </w:p>
    <w:p>
      <w:pPr>
        <w:pStyle w:val="Compact"/>
        <w:numPr>
          <w:ilvl w:val="0"/>
          <w:numId w:val="1002"/>
        </w:numPr>
      </w:pPr>
      <w:r>
        <w:t xml:space="preserve">Whether cloud migrations and workload growth are contributing alongside AI.</w:t>
      </w:r>
    </w:p>
    <w:p>
      <w:pPr>
        <w:pStyle w:val="Compact"/>
        <w:numPr>
          <w:ilvl w:val="0"/>
          <w:numId w:val="1002"/>
        </w:numPr>
      </w:pPr>
      <w:r>
        <w:t xml:space="preserve">New-logo bookings and average initial deal size.</w:t>
      </w:r>
    </w:p>
    <w:p>
      <w:pPr>
        <w:pStyle w:val="Compact"/>
        <w:numPr>
          <w:ilvl w:val="0"/>
          <w:numId w:val="1002"/>
        </w:numPr>
      </w:pPr>
      <w:r>
        <w:t xml:space="preserve">Evidence that the sales-capacity investments made during 2025 are still improving productivity.</w:t>
      </w:r>
    </w:p>
    <w:p>
      <w:pPr>
        <w:pStyle w:val="FirstParagraph"/>
      </w:pPr>
      <w:r>
        <w:t xml:space="preserve">If non-AI growth slows, the market may conclude that recent acceleration is overly dependent on a small number of rapidly scaling AI companies.</w:t>
      </w:r>
    </w:p>
    <w:bookmarkEnd w:id="14"/>
    <w:bookmarkStart w:id="15" w:name="X41f557391ad45104a20241fad80d33b6568a2f6"/>
    <w:p>
      <w:pPr>
        <w:pStyle w:val="Heading3"/>
      </w:pPr>
      <w:r>
        <w:t xml:space="preserve">3. AI customer concentration—and the largest customer</w:t>
      </w:r>
    </w:p>
    <w:p>
      <w:pPr>
        <w:pStyle w:val="FirstParagraph"/>
      </w:pPr>
      <w:r>
        <w:t xml:space="preserve">Management has repeatedly applied additional conservatism to its largest customer when setting guidance. Datadog’s Q1 filing also warned that larger AI-native customers, including its largest customer, can grow quickly and subsequently optimize usage. Management disclosed that the largest AI-native customer cohort generated only high-single-digit year-over-year growth in Q1, even while the broader AI-native group significantly outpaced the company.</w:t>
      </w:r>
    </w:p>
    <w:p>
      <w:pPr>
        <w:pStyle w:val="BodyText"/>
      </w:pPr>
      <w:r>
        <w:t xml:space="preserve">Important questions include:</w:t>
      </w:r>
    </w:p>
    <w:p>
      <w:pPr>
        <w:pStyle w:val="Compact"/>
        <w:numPr>
          <w:ilvl w:val="0"/>
          <w:numId w:val="1003"/>
        </w:numPr>
      </w:pPr>
      <w:r>
        <w:t xml:space="preserve">Did the largest customer stabilize, reaccelerate or optimize further?</w:t>
      </w:r>
    </w:p>
    <w:p>
      <w:pPr>
        <w:pStyle w:val="Compact"/>
        <w:numPr>
          <w:ilvl w:val="0"/>
          <w:numId w:val="1003"/>
        </w:numPr>
      </w:pPr>
      <w:r>
        <w:t xml:space="preserve">How much AI-native growth is coming from customers beyond the largest account?</w:t>
      </w:r>
    </w:p>
    <w:p>
      <w:pPr>
        <w:pStyle w:val="Compact"/>
        <w:numPr>
          <w:ilvl w:val="0"/>
          <w:numId w:val="1003"/>
        </w:numPr>
      </w:pPr>
      <w:r>
        <w:t xml:space="preserve">Are the two major AI-research-team wins announced in Q1 beginning to contribute revenue?</w:t>
      </w:r>
    </w:p>
    <w:p>
      <w:pPr>
        <w:pStyle w:val="Compact"/>
        <w:numPr>
          <w:ilvl w:val="0"/>
          <w:numId w:val="1003"/>
        </w:numPr>
      </w:pPr>
      <w:r>
        <w:t xml:space="preserve">Is Datadog gaining adoption on both</w:t>
      </w:r>
      <w:r>
        <w:t xml:space="preserve"> </w:t>
      </w:r>
      <w:r>
        <w:rPr>
          <w:b/>
          <w:bCs/>
        </w:rPr>
        <w:t xml:space="preserve">AI inference and training workloads</w:t>
      </w:r>
      <w:r>
        <w:t xml:space="preserve">?</w:t>
      </w:r>
    </w:p>
    <w:p>
      <w:pPr>
        <w:pStyle w:val="Compact"/>
        <w:numPr>
          <w:ilvl w:val="0"/>
          <w:numId w:val="1003"/>
        </w:numPr>
      </w:pPr>
      <w:r>
        <w:t xml:space="preserve">Are GPU Monitoring and LLM/Agent Observability driving incremental spend or primarily acting as strategic hooks?</w:t>
      </w:r>
    </w:p>
    <w:p>
      <w:pPr>
        <w:pStyle w:val="FirstParagraph"/>
      </w:pPr>
      <w:r>
        <w:t xml:space="preserve">Diversification would be more important than another large-customer-driven upside surprise.</w:t>
      </w:r>
    </w:p>
    <w:bookmarkEnd w:id="15"/>
    <w:bookmarkStart w:id="16" w:name="X0e902d9357d6d9f1143b05660bce1c8aef0dead"/>
    <w:p>
      <w:pPr>
        <w:pStyle w:val="Heading3"/>
      </w:pPr>
      <w:r>
        <w:t xml:space="preserve">4. Net retention and usage growth</w:t>
      </w:r>
    </w:p>
    <w:p>
      <w:pPr>
        <w:pStyle w:val="FirstParagraph"/>
      </w:pPr>
      <w:r>
        <w:t xml:space="preserve">Q1 trailing-12-month net revenue retention improved into the</w:t>
      </w:r>
      <w:r>
        <w:t xml:space="preserve"> </w:t>
      </w:r>
      <w:r>
        <w:rPr>
          <w:b/>
          <w:bCs/>
        </w:rPr>
        <w:t xml:space="preserve">low 120% range</w:t>
      </w:r>
      <w:r>
        <w:t xml:space="preserve">, while gross retention remained in the mid- to high 90s. (</w:t>
      </w:r>
      <w:hyperlink r:id="rId10">
        <w:r>
          <w:rPr>
            <w:rStyle w:val="Hyperlink"/>
          </w:rPr>
          <w:t xml:space="preserve">finance.yahoo.com</w:t>
        </w:r>
      </w:hyperlink>
      <w:r>
        <w:t xml:space="preserve">)</w:t>
      </w:r>
    </w:p>
    <w:p>
      <w:pPr>
        <w:pStyle w:val="BodyText"/>
      </w:pPr>
      <w:r>
        <w:t xml:space="preserve">A stable or improving NRR would support the thesis that Datadog has moved beyond the cloud-optimization cycle that pressured results in 2023 and 2024. Conversely, a return toward 120% or below—particularly alongside cautious usage commentary—would raise questions about the durability of the current reacceleration.</w:t>
      </w:r>
    </w:p>
    <w:p>
      <w:pPr>
        <w:pStyle w:val="BodyText"/>
      </w:pPr>
      <w:r>
        <w:t xml:space="preserve">Investors should also distinguish between:</w:t>
      </w:r>
    </w:p>
    <w:p>
      <w:pPr>
        <w:pStyle w:val="Compact"/>
        <w:numPr>
          <w:ilvl w:val="0"/>
          <w:numId w:val="1004"/>
        </w:numPr>
      </w:pPr>
      <w:r>
        <w:t xml:space="preserve">Expansion from greater usage of existing products.</w:t>
      </w:r>
    </w:p>
    <w:p>
      <w:pPr>
        <w:pStyle w:val="Compact"/>
        <w:numPr>
          <w:ilvl w:val="0"/>
          <w:numId w:val="1004"/>
        </w:numPr>
      </w:pPr>
      <w:r>
        <w:t xml:space="preserve">Cross-selling additional products.</w:t>
      </w:r>
    </w:p>
    <w:p>
      <w:pPr>
        <w:pStyle w:val="Compact"/>
        <w:numPr>
          <w:ilvl w:val="0"/>
          <w:numId w:val="1004"/>
        </w:numPr>
      </w:pPr>
      <w:r>
        <w:t xml:space="preserve">Price or contract effects.</w:t>
      </w:r>
    </w:p>
    <w:p>
      <w:pPr>
        <w:pStyle w:val="Compact"/>
        <w:numPr>
          <w:ilvl w:val="0"/>
          <w:numId w:val="1004"/>
        </w:numPr>
      </w:pPr>
      <w:r>
        <w:t xml:space="preserve">Growth generated by the concentrated AI-native cohort.</w:t>
      </w:r>
    </w:p>
    <w:bookmarkEnd w:id="16"/>
    <w:bookmarkStart w:id="18" w:name="X07dd3ad3718e2b93968d39eb0aae8673b5ceaaa"/>
    <w:p>
      <w:pPr>
        <w:pStyle w:val="Heading3"/>
      </w:pPr>
      <w:r>
        <w:t xml:space="preserve">5. Product adoption after DASH</w:t>
      </w:r>
    </w:p>
    <w:p>
      <w:pPr>
        <w:pStyle w:val="FirstParagraph"/>
      </w:pPr>
      <w:r>
        <w:t xml:space="preserve">Datadog launched more than 100 capabilities at DASH in June, centered on autonomous detection, investigation and remediation; AI-agent monitoring and security; Bring Your Own Cloud; and additional developer and testing tools. Major announcements included Bits Detection, Remediation, Code, Release and Testing; Agent Console; AI Guard; and expanded BYOC logs. (</w:t>
      </w:r>
      <w:hyperlink r:id="rId17">
        <w:r>
          <w:rPr>
            <w:rStyle w:val="Hyperlink"/>
          </w:rPr>
          <w:t xml:space="preserve">investors.datadoghq.com</w:t>
        </w:r>
      </w:hyperlink>
      <w:r>
        <w:t xml:space="preserve">)</w:t>
      </w:r>
    </w:p>
    <w:p>
      <w:pPr>
        <w:pStyle w:val="BodyText"/>
      </w:pPr>
      <w:r>
        <w:t xml:space="preserve">The strategic direction is clear: Datadog wants to move from a system that shows engineers what is wrong to one that can</w:t>
      </w:r>
      <w:r>
        <w:t xml:space="preserve"> </w:t>
      </w:r>
      <w:r>
        <w:rPr>
          <w:b/>
          <w:bCs/>
        </w:rPr>
        <w:t xml:space="preserve">detect, investigate and fix problems autonomously</w:t>
      </w:r>
      <w:r>
        <w:t xml:space="preserve">.</w:t>
      </w:r>
    </w:p>
    <w:p>
      <w:pPr>
        <w:pStyle w:val="BodyText"/>
      </w:pPr>
      <w:r>
        <w:t xml:space="preserve">Useful disclosures would include:</w:t>
      </w:r>
    </w:p>
    <w:p>
      <w:pPr>
        <w:pStyle w:val="Compact"/>
        <w:numPr>
          <w:ilvl w:val="0"/>
          <w:numId w:val="1005"/>
        </w:numPr>
      </w:pPr>
      <w:r>
        <w:t xml:space="preserve">Adoption or paid usage of Bits AI products.</w:t>
      </w:r>
    </w:p>
    <w:p>
      <w:pPr>
        <w:pStyle w:val="Compact"/>
        <w:numPr>
          <w:ilvl w:val="0"/>
          <w:numId w:val="1005"/>
        </w:numPr>
      </w:pPr>
      <w:r>
        <w:t xml:space="preserve">MCP Server tool-call growth.</w:t>
      </w:r>
    </w:p>
    <w:p>
      <w:pPr>
        <w:pStyle w:val="Compact"/>
        <w:numPr>
          <w:ilvl w:val="0"/>
          <w:numId w:val="1005"/>
        </w:numPr>
      </w:pPr>
      <w:r>
        <w:t xml:space="preserve">Agent Observability or Agent Console adoption.</w:t>
      </w:r>
    </w:p>
    <w:p>
      <w:pPr>
        <w:pStyle w:val="Compact"/>
        <w:numPr>
          <w:ilvl w:val="0"/>
          <w:numId w:val="1005"/>
        </w:numPr>
      </w:pPr>
      <w:r>
        <w:t xml:space="preserve">LLM-observability span growth.</w:t>
      </w:r>
    </w:p>
    <w:p>
      <w:pPr>
        <w:pStyle w:val="Compact"/>
        <w:numPr>
          <w:ilvl w:val="0"/>
          <w:numId w:val="1005"/>
        </w:numPr>
      </w:pPr>
      <w:r>
        <w:t xml:space="preserve">Paying BYOC customers and the size of the addressable pipeline.</w:t>
      </w:r>
    </w:p>
    <w:p>
      <w:pPr>
        <w:pStyle w:val="Compact"/>
        <w:numPr>
          <w:ilvl w:val="0"/>
          <w:numId w:val="1005"/>
        </w:numPr>
      </w:pPr>
      <w:r>
        <w:t xml:space="preserve">Whether DASH announcements are driving incremental bookings today or remain mostly preview-stage products.</w:t>
      </w:r>
    </w:p>
    <w:p>
      <w:pPr>
        <w:pStyle w:val="FirstParagraph"/>
      </w:pPr>
      <w:r>
        <w:t xml:space="preserve">Product announcements alone will not move the debate. Investors need evidence that new products are monetizing and expanding Datadog’s addressable wallet.</w:t>
      </w:r>
    </w:p>
    <w:bookmarkEnd w:id="18"/>
    <w:bookmarkStart w:id="20" w:name="X1a6c608565d2714fd719fe44d3d8797258a5099"/>
    <w:p>
      <w:pPr>
        <w:pStyle w:val="Heading3"/>
      </w:pPr>
      <w:r>
        <w:t xml:space="preserve">6. Platform breadth and large-customer growth</w:t>
      </w:r>
    </w:p>
    <w:p>
      <w:pPr>
        <w:pStyle w:val="FirstParagraph"/>
      </w:pPr>
      <w:r>
        <w:t xml:space="preserve">At the end of Q1:</w:t>
      </w:r>
    </w:p>
    <w:p>
      <w:pPr>
        <w:pStyle w:val="Compact"/>
        <w:numPr>
          <w:ilvl w:val="0"/>
          <w:numId w:val="1006"/>
        </w:numPr>
      </w:pPr>
      <w:r>
        <w:t xml:space="preserve">Datadog had approximately</w:t>
      </w:r>
      <w:r>
        <w:t xml:space="preserve"> </w:t>
      </w:r>
      <w:r>
        <w:rPr>
          <w:b/>
          <w:bCs/>
        </w:rPr>
        <w:t xml:space="preserve">33,200 customers</w:t>
      </w:r>
      <w:r>
        <w:t xml:space="preserve">.</w:t>
      </w:r>
    </w:p>
    <w:p>
      <w:pPr>
        <w:pStyle w:val="Compact"/>
        <w:numPr>
          <w:ilvl w:val="0"/>
          <w:numId w:val="1006"/>
        </w:numPr>
      </w:pPr>
      <w:r>
        <w:t xml:space="preserve">About</w:t>
      </w:r>
      <w:r>
        <w:t xml:space="preserve"> </w:t>
      </w:r>
      <w:r>
        <w:rPr>
          <w:b/>
          <w:bCs/>
        </w:rPr>
        <w:t xml:space="preserve">4,550 customers</w:t>
      </w:r>
      <w:r>
        <w:t xml:space="preserve"> </w:t>
      </w:r>
      <w:r>
        <w:t xml:space="preserve">generated at least $100,000 of ARR, up 21%.</w:t>
      </w:r>
    </w:p>
    <w:p>
      <w:pPr>
        <w:pStyle w:val="Compact"/>
        <w:numPr>
          <w:ilvl w:val="0"/>
          <w:numId w:val="1006"/>
        </w:numPr>
      </w:pPr>
      <w:r>
        <w:t xml:space="preserve">Those large customers represented roughly 90% of ARR.</w:t>
      </w:r>
    </w:p>
    <w:p>
      <w:pPr>
        <w:pStyle w:val="Compact"/>
        <w:numPr>
          <w:ilvl w:val="0"/>
          <w:numId w:val="1006"/>
        </w:numPr>
      </w:pPr>
      <w:r>
        <w:t xml:space="preserve">56% of customers used four or more products.</w:t>
      </w:r>
    </w:p>
    <w:p>
      <w:pPr>
        <w:pStyle w:val="Compact"/>
        <w:numPr>
          <w:ilvl w:val="0"/>
          <w:numId w:val="1006"/>
        </w:numPr>
      </w:pPr>
      <w:r>
        <w:t xml:space="preserve">35% used six or more.</w:t>
      </w:r>
    </w:p>
    <w:p>
      <w:pPr>
        <w:pStyle w:val="Compact"/>
        <w:numPr>
          <w:ilvl w:val="0"/>
          <w:numId w:val="1006"/>
        </w:numPr>
      </w:pPr>
      <w:r>
        <w:t xml:space="preserve">20% used eight or more.</w:t>
      </w:r>
    </w:p>
    <w:p>
      <w:pPr>
        <w:pStyle w:val="FirstParagraph"/>
      </w:pPr>
      <w:r>
        <w:t xml:space="preserve">Q1 revenue was $1.006 billion, non-GAAP operating margin was 22%, and free cash flow was $289 million, or 29% of revenue. (</w:t>
      </w:r>
      <w:hyperlink r:id="rId19">
        <w:r>
          <w:rPr>
            <w:rStyle w:val="Hyperlink"/>
          </w:rPr>
          <w:t xml:space="preserve">investors.datadoghq.com</w:t>
        </w:r>
      </w:hyperlink>
      <w:r>
        <w:t xml:space="preserve">)</w:t>
      </w:r>
    </w:p>
    <w:p>
      <w:pPr>
        <w:pStyle w:val="BodyText"/>
      </w:pPr>
      <w:r>
        <w:t xml:space="preserve">The healthiest Q2 result would combine:</w:t>
      </w:r>
    </w:p>
    <w:p>
      <w:pPr>
        <w:pStyle w:val="Compact"/>
        <w:numPr>
          <w:ilvl w:val="0"/>
          <w:numId w:val="1007"/>
        </w:numPr>
      </w:pPr>
      <w:r>
        <w:t xml:space="preserve">Continued 20%-plus growth in $100,000-ARR customers.</w:t>
      </w:r>
    </w:p>
    <w:p>
      <w:pPr>
        <w:pStyle w:val="Compact"/>
        <w:numPr>
          <w:ilvl w:val="0"/>
          <w:numId w:val="1007"/>
        </w:numPr>
      </w:pPr>
      <w:r>
        <w:t xml:space="preserve">Higher multi-product adoption.</w:t>
      </w:r>
    </w:p>
    <w:p>
      <w:pPr>
        <w:pStyle w:val="Compact"/>
        <w:numPr>
          <w:ilvl w:val="0"/>
          <w:numId w:val="1007"/>
        </w:numPr>
      </w:pPr>
      <w:r>
        <w:t xml:space="preserve">Strong new-logo land sizes.</w:t>
      </w:r>
    </w:p>
    <w:p>
      <w:pPr>
        <w:pStyle w:val="Compact"/>
        <w:numPr>
          <w:ilvl w:val="0"/>
          <w:numId w:val="1007"/>
        </w:numPr>
      </w:pPr>
      <w:r>
        <w:t xml:space="preserve">Expansion across observability, security, developer tools and digital experience—not only infrastructure monitoring.</w:t>
      </w:r>
    </w:p>
    <w:bookmarkEnd w:id="20"/>
    <w:bookmarkStart w:id="21" w:name="X74dd39a390fc4e6d0dd1eb3377553f4cc672c31"/>
    <w:p>
      <w:pPr>
        <w:pStyle w:val="Heading3"/>
      </w:pPr>
      <w:r>
        <w:t xml:space="preserve">7. Margins, infrastructure costs and stock-based compensation</w:t>
      </w:r>
    </w:p>
    <w:p>
      <w:pPr>
        <w:pStyle w:val="FirstParagraph"/>
      </w:pPr>
      <w:r>
        <w:t xml:space="preserve">The Q2 operating-margin guide of 21%–22% incorporates the DASH expense, so modest upside should be achievable if revenue is strong. But investors should avoid focusing exclusively on adjusted EPS.</w:t>
      </w:r>
    </w:p>
    <w:p>
      <w:pPr>
        <w:pStyle w:val="BodyText"/>
      </w:pPr>
      <w:r>
        <w:t xml:space="preserve">Q1 stock-based compensation was approximately</w:t>
      </w:r>
      <w:r>
        <w:t xml:space="preserve"> </w:t>
      </w:r>
      <w:r>
        <w:rPr>
          <w:b/>
          <w:bCs/>
        </w:rPr>
        <w:t xml:space="preserve">$197 million</w:t>
      </w:r>
      <w:r>
        <w:t xml:space="preserve">, or nearly 20% of revenue. Datadog’s free-cash-flow profile is excellent, but SBC remains material to the economics experienced by shareholders. The most constructive outcome would be strong revenue growth, roughly stable gross margins near 80%, and operating leverage without a meaningful increase in dilution.</w:t>
      </w:r>
    </w:p>
    <w:p>
      <w:pPr>
        <w:pStyle w:val="BodyText"/>
      </w:pPr>
      <w:r>
        <w:t xml:space="preserve">Watch for:</w:t>
      </w:r>
    </w:p>
    <w:p>
      <w:pPr>
        <w:pStyle w:val="Compact"/>
        <w:numPr>
          <w:ilvl w:val="0"/>
          <w:numId w:val="1008"/>
        </w:numPr>
      </w:pPr>
      <w:r>
        <w:t xml:space="preserve">Gross-margin impact from rapidly growing telemetry volumes.</w:t>
      </w:r>
    </w:p>
    <w:p>
      <w:pPr>
        <w:pStyle w:val="Compact"/>
        <w:numPr>
          <w:ilvl w:val="0"/>
          <w:numId w:val="1008"/>
        </w:numPr>
      </w:pPr>
      <w:r>
        <w:t xml:space="preserve">Cloud-infrastructure efficiency.</w:t>
      </w:r>
    </w:p>
    <w:p>
      <w:pPr>
        <w:pStyle w:val="Compact"/>
        <w:numPr>
          <w:ilvl w:val="0"/>
          <w:numId w:val="1008"/>
        </w:numPr>
      </w:pPr>
      <w:r>
        <w:t xml:space="preserve">Spending on Datadog’s own AI models and research.</w:t>
      </w:r>
    </w:p>
    <w:p>
      <w:pPr>
        <w:pStyle w:val="Compact"/>
        <w:numPr>
          <w:ilvl w:val="0"/>
          <w:numId w:val="1008"/>
        </w:numPr>
      </w:pPr>
      <w:r>
        <w:t xml:space="preserve">Hiring trends following the Adaptive ML acquisition.</w:t>
      </w:r>
    </w:p>
    <w:p>
      <w:pPr>
        <w:pStyle w:val="Compact"/>
        <w:numPr>
          <w:ilvl w:val="0"/>
          <w:numId w:val="1008"/>
        </w:numPr>
      </w:pPr>
      <w:r>
        <w:t xml:space="preserve">Capitalized software development, which rose significantly in Q1.</w:t>
      </w:r>
    </w:p>
    <w:p>
      <w:pPr>
        <w:pStyle w:val="Compact"/>
        <w:numPr>
          <w:ilvl w:val="0"/>
          <w:numId w:val="1008"/>
        </w:numPr>
      </w:pPr>
      <w:r>
        <w:t xml:space="preserve">Updated expectations for net share dilution.</w:t>
      </w:r>
    </w:p>
    <w:bookmarkEnd w:id="21"/>
    <w:bookmarkStart w:id="23" w:name="X9c118b59f90a2369081c4f4eb36587da9558bb8"/>
    <w:p>
      <w:pPr>
        <w:pStyle w:val="Heading3"/>
      </w:pPr>
      <w:r>
        <w:t xml:space="preserve">8. Adaptive ML and the AI R&amp;D roadmap</w:t>
      </w:r>
    </w:p>
    <w:p>
      <w:pPr>
        <w:pStyle w:val="FirstParagraph"/>
      </w:pPr>
      <w:r>
        <w:t xml:space="preserve">Datadog acquired Adaptive ML on June 30. Adaptive ML built an RLOps platform for training and refining specialized models and agents using reinforcement learning and production feedback. It will join Datadog AI Research, with a focus on world models and agentic LLM post-training for observability and security. (</w:t>
      </w:r>
      <w:hyperlink r:id="rId22">
        <w:r>
          <w:rPr>
            <w:rStyle w:val="Hyperlink"/>
          </w:rPr>
          <w:t xml:space="preserve">investors.datadoghq.com</w:t>
        </w:r>
      </w:hyperlink>
      <w:r>
        <w:t xml:space="preserve">)</w:t>
      </w:r>
    </w:p>
    <w:p>
      <w:pPr>
        <w:pStyle w:val="BodyText"/>
      </w:pPr>
      <w:r>
        <w:t xml:space="preserve">The acquisition is strategically logical because Datadog owns a large corpus of real-world infrastructure, application and security telemetry. Near term, however, it is more likely to increase R&amp;D investment than contribute material revenue.</w:t>
      </w:r>
    </w:p>
    <w:p>
      <w:pPr>
        <w:pStyle w:val="BodyText"/>
      </w:pPr>
      <w:r>
        <w:t xml:space="preserve">Investors should look for:</w:t>
      </w:r>
    </w:p>
    <w:p>
      <w:pPr>
        <w:pStyle w:val="Compact"/>
        <w:numPr>
          <w:ilvl w:val="0"/>
          <w:numId w:val="1009"/>
        </w:numPr>
      </w:pPr>
      <w:r>
        <w:t xml:space="preserve">Acquisition-related operating-expense effects.</w:t>
      </w:r>
    </w:p>
    <w:p>
      <w:pPr>
        <w:pStyle w:val="Compact"/>
        <w:numPr>
          <w:ilvl w:val="0"/>
          <w:numId w:val="1009"/>
        </w:numPr>
      </w:pPr>
      <w:r>
        <w:t xml:space="preserve">Whether management changes FY2026 margin guidance.</w:t>
      </w:r>
    </w:p>
    <w:p>
      <w:pPr>
        <w:pStyle w:val="Compact"/>
        <w:numPr>
          <w:ilvl w:val="0"/>
          <w:numId w:val="1009"/>
        </w:numPr>
      </w:pPr>
      <w:r>
        <w:t xml:space="preserve">The timeline for integrating Adaptive ML technology into Bits AI.</w:t>
      </w:r>
    </w:p>
    <w:p>
      <w:pPr>
        <w:pStyle w:val="Compact"/>
        <w:numPr>
          <w:ilvl w:val="0"/>
          <w:numId w:val="1009"/>
        </w:numPr>
      </w:pPr>
      <w:r>
        <w:t xml:space="preserve">Whether Datadog intends to train larger proprietary models or remain focused on smaller domain-specific systems.</w:t>
      </w:r>
    </w:p>
    <w:p>
      <w:r>
        <w:pict>
          <v:rect style="width:0;height:1.5pt" o:hralign="center" o:hrstd="t" o:hr="t"/>
        </w:pict>
      </w:r>
    </w:p>
    <w:bookmarkEnd w:id="23"/>
    <w:bookmarkEnd w:id="24"/>
    <w:bookmarkStart w:id="25" w:name="Xdba4f2f5dae6ac9f32a5aad4b5a21d12165444c"/>
    <w:p>
      <w:pPr>
        <w:pStyle w:val="Heading2"/>
      </w:pPr>
      <w:r>
        <w:t xml:space="preserve">Full-year guidance: a raise is necessary, but the magnitude matters</w:t>
      </w:r>
    </w:p>
    <w:p>
      <w:pPr>
        <w:pStyle w:val="FirstParagraph"/>
      </w:pPr>
      <w:r>
        <w:t xml:space="preserve">The existing FY2026 revenue guide is</w:t>
      </w:r>
      <w:r>
        <w:t xml:space="preserve"> </w:t>
      </w:r>
      <m:oMath>
        <m:r>
          <m:t>4.30</m:t>
        </m:r>
        <m:r>
          <m:t>b</m:t>
        </m:r>
        <m:r>
          <m:t>i</m:t>
        </m:r>
        <m:r>
          <m:t>l</m:t>
        </m:r>
        <m:r>
          <m:t>l</m:t>
        </m:r>
        <m:r>
          <m:t>i</m:t>
        </m:r>
        <m:r>
          <m:t>o</m:t>
        </m:r>
        <m:r>
          <m:t>n</m:t>
        </m:r>
        <m:r>
          <m:rPr>
            <m:sty m:val="p"/>
          </m:rPr>
          <m:t>–</m:t>
        </m:r>
      </m:oMath>
      <w:r>
        <w:rPr>
          <w:b/>
          <w:bCs/>
        </w:rPr>
        <w:t xml:space="preserve">4.34 billion</w:t>
      </w:r>
      <w:r>
        <w:t xml:space="preserve">, representing 25%–27% growth. After $1.006 billion in Q1 and approximately $1.08 billion expected in Q2, the current guide would require about $2.23 billion in second-half revenue.</w:t>
      </w:r>
    </w:p>
    <w:p>
      <w:pPr>
        <w:pStyle w:val="BodyText"/>
      </w:pPr>
      <w:r>
        <w:t xml:space="preserve">Given Q1’s acceleration and management’s normally conservative guidance philosophy, simply nudging the full-year range above consensus may not be sufficient.</w:t>
      </w:r>
    </w:p>
    <w:p>
      <w:pPr>
        <w:pStyle w:val="BodyText"/>
      </w:pPr>
      <w:r>
        <w:t xml:space="preserve">A rough interpretation: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Updated FY2026 revenue outlook</w:t>
            </w:r>
          </w:p>
        </w:tc>
        <w:tc>
          <w:tcPr/>
          <w:p>
            <w:pPr>
              <w:pStyle w:val="Compact"/>
            </w:pPr>
            <w:r>
              <w:t xml:space="preserve">Likely reading</w:t>
            </w:r>
          </w:p>
        </w:tc>
      </w:tr>
      <w:tr>
        <w:tc>
          <w:tcPr/>
          <w:p>
            <w:pPr>
              <w:pStyle w:val="Compact"/>
            </w:pPr>
            <w:r>
              <w:rPr>
                <w:b/>
                <w:bCs/>
              </w:rPr>
              <w:t xml:space="preserve">Below $4.38B</w:t>
            </w:r>
          </w:p>
        </w:tc>
        <w:tc>
          <w:tcPr/>
          <w:p>
            <w:pPr>
              <w:pStyle w:val="Compact"/>
            </w:pPr>
            <w:r>
              <w:t xml:space="preserve">Disappointing; suggests a more cautious second half</w:t>
            </w:r>
          </w:p>
        </w:tc>
      </w:tr>
      <w:tr>
        <w:tc>
          <w:tcPr/>
          <w:p>
            <w:pPr>
              <w:pStyle w:val="Compact"/>
            </w:pPr>
            <m:oMath>
              <m:r>
                <m:t>4.38</m:t>
              </m:r>
              <m:r>
                <m:t>B</m:t>
              </m:r>
              <m:r>
                <m:rPr>
                  <m:sty m:val="p"/>
                </m:rPr>
                <m:t>–</m:t>
              </m:r>
            </m:oMath>
            <w:r>
              <w:rPr>
                <w:b/>
                <w:bCs/>
              </w:rPr>
              <w:t xml:space="preserve">4.44B</w:t>
            </w:r>
          </w:p>
        </w:tc>
        <w:tc>
          <w:tcPr/>
          <w:p>
            <w:pPr>
              <w:pStyle w:val="Compact"/>
            </w:pPr>
            <w:r>
              <w:t xml:space="preserve">Reasonable but may not satisfy elevated expectations</w:t>
            </w:r>
          </w:p>
        </w:tc>
      </w:tr>
      <w:tr>
        <w:tc>
          <w:tcPr/>
          <w:p>
            <w:pPr>
              <w:pStyle w:val="Compact"/>
            </w:pPr>
            <m:oMath>
              <m:r>
                <m:t>4.45</m:t>
              </m:r>
              <m:r>
                <m:t>B</m:t>
              </m:r>
              <m:r>
                <m:rPr>
                  <m:sty m:val="p"/>
                </m:rPr>
                <m:t>–</m:t>
              </m:r>
            </m:oMath>
            <w:r>
              <w:rPr>
                <w:b/>
                <w:bCs/>
              </w:rPr>
              <w:t xml:space="preserve">4.50B</w:t>
            </w:r>
          </w:p>
        </w:tc>
        <w:tc>
          <w:tcPr/>
          <w:p>
            <w:pPr>
              <w:pStyle w:val="Compact"/>
            </w:pPr>
            <w:r>
              <w:t xml:space="preserve">Strong; supports durable high-20s growth</w:t>
            </w:r>
          </w:p>
        </w:tc>
      </w:tr>
      <w:tr>
        <w:tc>
          <w:tcPr/>
          <w:p>
            <w:pPr>
              <w:pStyle w:val="Compact"/>
            </w:pPr>
            <w:r>
              <w:rPr>
                <w:b/>
                <w:bCs/>
              </w:rPr>
              <w:t xml:space="preserve">Above $4.50B</w:t>
            </w:r>
          </w:p>
        </w:tc>
        <w:tc>
          <w:tcPr/>
          <w:p>
            <w:pPr>
              <w:pStyle w:val="Compact"/>
            </w:pPr>
            <w:r>
              <w:t xml:space="preserve">Very bullish, particularly if broad-based</w:t>
            </w:r>
          </w:p>
        </w:tc>
      </w:tr>
    </w:tbl>
    <w:p>
      <w:pPr>
        <w:pStyle w:val="BodyText"/>
      </w:pPr>
      <w:r>
        <w:t xml:space="preserve">The quality of the raise will depend on whether it reflects diversified customer growth or greater reliance on a handful of AI accounts.</w:t>
      </w:r>
    </w:p>
    <w:p>
      <w:r>
        <w:pict>
          <v:rect style="width:0;height:1.5pt" o:hralign="center" o:hrstd="t" o:hr="t"/>
        </w:pict>
      </w:r>
    </w:p>
    <w:bookmarkEnd w:id="25"/>
    <w:bookmarkStart w:id="28" w:name="bull-and-bear-cases"/>
    <w:p>
      <w:pPr>
        <w:pStyle w:val="Heading2"/>
      </w:pPr>
      <w:r>
        <w:t xml:space="preserve">Bull and bear cases</w:t>
      </w:r>
    </w:p>
    <w:bookmarkStart w:id="26" w:name="bull-case"/>
    <w:p>
      <w:pPr>
        <w:pStyle w:val="Heading3"/>
      </w:pPr>
      <w:r>
        <w:t xml:space="preserve">Bull case</w:t>
      </w:r>
    </w:p>
    <w:p>
      <w:pPr>
        <w:pStyle w:val="Compact"/>
        <w:numPr>
          <w:ilvl w:val="0"/>
          <w:numId w:val="1010"/>
        </w:numPr>
      </w:pPr>
      <w:r>
        <w:t xml:space="preserve">Q2 revenue exceeds $1.10 billion.</w:t>
      </w:r>
    </w:p>
    <w:p>
      <w:pPr>
        <w:pStyle w:val="Compact"/>
        <w:numPr>
          <w:ilvl w:val="0"/>
          <w:numId w:val="1010"/>
        </w:numPr>
      </w:pPr>
      <w:r>
        <w:t xml:space="preserve">Q3 guidance implies continued growth near or above 30%.</w:t>
      </w:r>
    </w:p>
    <w:p>
      <w:pPr>
        <w:pStyle w:val="Compact"/>
        <w:numPr>
          <w:ilvl w:val="0"/>
          <w:numId w:val="1010"/>
        </w:numPr>
      </w:pPr>
      <w:r>
        <w:t xml:space="preserve">Non-AI customer growth stays in the mid-20s or improves.</w:t>
      </w:r>
    </w:p>
    <w:p>
      <w:pPr>
        <w:pStyle w:val="Compact"/>
        <w:numPr>
          <w:ilvl w:val="0"/>
          <w:numId w:val="1010"/>
        </w:numPr>
      </w:pPr>
      <w:r>
        <w:t xml:space="preserve">NRR holds in the low 120s or moves higher.</w:t>
      </w:r>
    </w:p>
    <w:p>
      <w:pPr>
        <w:pStyle w:val="Compact"/>
        <w:numPr>
          <w:ilvl w:val="0"/>
          <w:numId w:val="1010"/>
        </w:numPr>
      </w:pPr>
      <w:r>
        <w:t xml:space="preserve">AI-native growth broadens beyond the largest customer.</w:t>
      </w:r>
    </w:p>
    <w:p>
      <w:pPr>
        <w:pStyle w:val="Compact"/>
        <w:numPr>
          <w:ilvl w:val="0"/>
          <w:numId w:val="1010"/>
        </w:numPr>
      </w:pPr>
      <w:r>
        <w:t xml:space="preserve">New products show credible paid adoption.</w:t>
      </w:r>
    </w:p>
    <w:p>
      <w:pPr>
        <w:pStyle w:val="Compact"/>
        <w:numPr>
          <w:ilvl w:val="0"/>
          <w:numId w:val="1010"/>
        </w:numPr>
      </w:pPr>
      <w:r>
        <w:t xml:space="preserve">Full-year revenue guidance moves toward $4.45 billion or higher.</w:t>
      </w:r>
    </w:p>
    <w:p>
      <w:pPr>
        <w:pStyle w:val="Compact"/>
        <w:numPr>
          <w:ilvl w:val="0"/>
          <w:numId w:val="1010"/>
        </w:numPr>
      </w:pPr>
      <w:r>
        <w:t xml:space="preserve">Operating margin and free cash flow remain above 20% despite aggressive R&amp;D investment.</w:t>
      </w:r>
    </w:p>
    <w:p>
      <w:pPr>
        <w:pStyle w:val="FirstParagraph"/>
      </w:pPr>
      <w:r>
        <w:t xml:space="preserve">This would reinforce DDOG as one of the few large software companies simultaneously delivering approximately 30% growth, strong retention and substantial free cash flow.</w:t>
      </w:r>
    </w:p>
    <w:bookmarkEnd w:id="26"/>
    <w:bookmarkStart w:id="27" w:name="bear-case"/>
    <w:p>
      <w:pPr>
        <w:pStyle w:val="Heading3"/>
      </w:pPr>
      <w:r>
        <w:t xml:space="preserve">Bear case</w:t>
      </w:r>
    </w:p>
    <w:p>
      <w:pPr>
        <w:pStyle w:val="Compact"/>
        <w:numPr>
          <w:ilvl w:val="0"/>
          <w:numId w:val="1011"/>
        </w:numPr>
      </w:pPr>
      <w:r>
        <w:t xml:space="preserve">Q2 lands close to the original guide despite very strong Q1 momentum.</w:t>
      </w:r>
    </w:p>
    <w:p>
      <w:pPr>
        <w:pStyle w:val="Compact"/>
        <w:numPr>
          <w:ilvl w:val="0"/>
          <w:numId w:val="1011"/>
        </w:numPr>
      </w:pPr>
      <w:r>
        <w:t xml:space="preserve">Q3 guidance implies clear sequential deceleration.</w:t>
      </w:r>
    </w:p>
    <w:p>
      <w:pPr>
        <w:pStyle w:val="Compact"/>
        <w:numPr>
          <w:ilvl w:val="0"/>
          <w:numId w:val="1011"/>
        </w:numPr>
      </w:pPr>
      <w:r>
        <w:t xml:space="preserve">The largest AI customer resumes optimization.</w:t>
      </w:r>
    </w:p>
    <w:p>
      <w:pPr>
        <w:pStyle w:val="Compact"/>
        <w:numPr>
          <w:ilvl w:val="0"/>
          <w:numId w:val="1011"/>
        </w:numPr>
      </w:pPr>
      <w:r>
        <w:t xml:space="preserve">Non-AI customer growth slows back toward the low 20s.</w:t>
      </w:r>
    </w:p>
    <w:p>
      <w:pPr>
        <w:pStyle w:val="Compact"/>
        <w:numPr>
          <w:ilvl w:val="0"/>
          <w:numId w:val="1011"/>
        </w:numPr>
      </w:pPr>
      <w:r>
        <w:t xml:space="preserve">NRR declines.</w:t>
      </w:r>
    </w:p>
    <w:p>
      <w:pPr>
        <w:pStyle w:val="Compact"/>
        <w:numPr>
          <w:ilvl w:val="0"/>
          <w:numId w:val="1011"/>
        </w:numPr>
      </w:pPr>
      <w:r>
        <w:t xml:space="preserve">DASH launches remain primarily previews without near-term monetization.</w:t>
      </w:r>
    </w:p>
    <w:p>
      <w:pPr>
        <w:pStyle w:val="Compact"/>
        <w:numPr>
          <w:ilvl w:val="0"/>
          <w:numId w:val="1011"/>
        </w:numPr>
      </w:pPr>
      <w:r>
        <w:t xml:space="preserve">Gross margin weakens due to AI telemetry and infrastructure costs.</w:t>
      </w:r>
    </w:p>
    <w:p>
      <w:pPr>
        <w:pStyle w:val="Compact"/>
        <w:numPr>
          <w:ilvl w:val="0"/>
          <w:numId w:val="1011"/>
        </w:numPr>
      </w:pPr>
      <w:r>
        <w:t xml:space="preserve">Adaptive ML and broader AI investments pressure the margin outlook.</w:t>
      </w:r>
    </w:p>
    <w:p>
      <w:pPr>
        <w:pStyle w:val="Compact"/>
        <w:numPr>
          <w:ilvl w:val="0"/>
          <w:numId w:val="1011"/>
        </w:numPr>
      </w:pPr>
      <w:r>
        <w:t xml:space="preserve">The full-year raise is small and driven mainly by the Q2 beat.</w:t>
      </w:r>
    </w:p>
    <w:p>
      <w:pPr>
        <w:pStyle w:val="FirstParagraph"/>
      </w:pPr>
      <w:r>
        <w:t xml:space="preserve">At DDOG’s current valuation, even a fundamentally respectable result could produce a sharp selloff if forward estimates do not rise enough.</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Datadog’s fundamental setup is excellent: revenue has reaccelerated, retention is improving, enterprise land sizes are increasing, the company is gaining traction with both AI-native and traditional customers, and its platform breadth continues to deepen.</w:t>
      </w:r>
    </w:p>
    <w:p>
      <w:pPr>
        <w:pStyle w:val="BodyText"/>
      </w:pPr>
      <w:r>
        <w:t xml:space="preserve">The stock setup is more difficult. After a dramatic rerating, the market is no longer asking whether Datadog is an AI beneficiary. It is pricing Datadog as one of the premier AI-era software platforms.</w:t>
      </w:r>
    </w:p>
    <w:p>
      <w:pPr>
        <w:pStyle w:val="BodyText"/>
      </w:pPr>
      <w:r>
        <w:t xml:space="preserve">For the shares to respond positively, the report probably needs three things:</w:t>
      </w:r>
    </w:p>
    <w:p>
      <w:pPr>
        <w:pStyle w:val="Compact"/>
        <w:numPr>
          <w:ilvl w:val="0"/>
          <w:numId w:val="1012"/>
        </w:numPr>
      </w:pPr>
      <w:r>
        <w:rPr>
          <w:b/>
          <w:bCs/>
        </w:rPr>
        <w:t xml:space="preserve">A meaningful Q2 revenue beat.</w:t>
      </w:r>
    </w:p>
    <w:p>
      <w:pPr>
        <w:pStyle w:val="Compact"/>
        <w:numPr>
          <w:ilvl w:val="0"/>
          <w:numId w:val="1012"/>
        </w:numPr>
      </w:pPr>
      <w:r>
        <w:rPr>
          <w:b/>
          <w:bCs/>
        </w:rPr>
        <w:t xml:space="preserve">A Q3 outlook showing that approximately 30% growth can persist.</w:t>
      </w:r>
    </w:p>
    <w:p>
      <w:pPr>
        <w:pStyle w:val="Compact"/>
        <w:numPr>
          <w:ilvl w:val="0"/>
          <w:numId w:val="1012"/>
        </w:numPr>
      </w:pPr>
      <w:r>
        <w:rPr>
          <w:b/>
          <w:bCs/>
        </w:rPr>
        <w:t xml:space="preserve">Evidence that growth is diversified across non-AI customers, multiple AI accounts and newer products.</w:t>
      </w:r>
    </w:p>
    <w:p>
      <w:pPr>
        <w:pStyle w:val="FirstParagraph"/>
      </w:pPr>
      <w:r>
        <w:t xml:space="preserve">The headline EPS number is secondary.</w:t>
      </w:r>
      <w:r>
        <w:t xml:space="preserve"> </w:t>
      </w:r>
      <w:r>
        <w:rPr>
          <w:b/>
          <w:bCs/>
        </w:rPr>
        <w:t xml:space="preserve">Forward growth, customer concentration and the size of the full-year raise will determine the reaction.</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finance.yahoo.com/markets/stocks/articles/datadog-ddog-q1-2026-earnings-190419784.html?utm_source=openai" TargetMode="External" /><Relationship Type="http://schemas.openxmlformats.org/officeDocument/2006/relationships/hyperlink" Id="rId22" Target="https://investors.datadoghq.com/news-releases/news-release-details/datadog-acquires-adaptive-ml-accelerate-its-investment-ai/?utm_source=openai" TargetMode="External" /><Relationship Type="http://schemas.openxmlformats.org/officeDocument/2006/relationships/hyperlink" Id="rId19" Target="https://investors.datadoghq.com/news-releases/news-release-details/datadog-announces-first-quarter-2026-financial-results/?utm_source=openai" TargetMode="External" /><Relationship Type="http://schemas.openxmlformats.org/officeDocument/2006/relationships/hyperlink" Id="rId17" Target="https://investors.datadoghq.com/news-releases/news-release-details/datadog-launches-100-capabilities-help-customers-drive-autonomy" TargetMode="External" /><Relationship Type="http://schemas.openxmlformats.org/officeDocument/2006/relationships/hyperlink" Id="rId9" Target="https://www.marketbeat.com/earnings/reports/2026-8-6-datadog-inc-stock/" TargetMode="External" /></Relationships>
</file>

<file path=word/_rels/footnotes.xml.rels><?xml version="1.0" encoding="UTF-8"?><Relationships xmlns="http://schemas.openxmlformats.org/package/2006/relationships"><Relationship Type="http://schemas.openxmlformats.org/officeDocument/2006/relationships/hyperlink" Id="rId10" Target="https://finance.yahoo.com/markets/stocks/articles/datadog-ddog-q1-2026-earnings-190419784.html?utm_source=openai" TargetMode="External" /><Relationship Type="http://schemas.openxmlformats.org/officeDocument/2006/relationships/hyperlink" Id="rId22" Target="https://investors.datadoghq.com/news-releases/news-release-details/datadog-acquires-adaptive-ml-accelerate-its-investment-ai/?utm_source=openai" TargetMode="External" /><Relationship Type="http://schemas.openxmlformats.org/officeDocument/2006/relationships/hyperlink" Id="rId19" Target="https://investors.datadoghq.com/news-releases/news-release-details/datadog-announces-first-quarter-2026-financial-results/?utm_source=openai" TargetMode="External" /><Relationship Type="http://schemas.openxmlformats.org/officeDocument/2006/relationships/hyperlink" Id="rId17" Target="https://investors.datadoghq.com/news-releases/news-release-details/datadog-launches-100-capabilities-help-customers-drive-autonomy" TargetMode="External" /><Relationship Type="http://schemas.openxmlformats.org/officeDocument/2006/relationships/hyperlink" Id="rId9" Target="https://www.marketbeat.com/earnings/reports/2026-8-6-datadog-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2026-08-06T00:05:49Z</dcterms:created>
  <dcterms:modified xsi:type="dcterms:W3CDTF">2026-08-06T00:05:49Z</dcterms:modified>
</cp:coreProperties>
</file>

<file path=docProps/custom.xml><?xml version="1.0" encoding="utf-8"?>
<Properties xmlns="http://schemas.openxmlformats.org/officeDocument/2006/custom-properties" xmlns:vt="http://schemas.openxmlformats.org/officeDocument/2006/docPropsVTypes"/>
</file>