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datadog-ddog-q2-2026-earnings-preview"/>
    <w:p>
      <w:pPr>
        <w:pStyle w:val="Heading1"/>
      </w:pPr>
      <w:r>
        <w:t xml:space="preserve">Datadog (DDOG) Q2 2026 Earnings Preview</w:t>
      </w:r>
    </w:p>
    <w:p>
      <w:pPr>
        <w:pStyle w:val="FirstParagraph"/>
      </w:pPr>
      <w:r>
        <w:rPr>
          <w:b/>
          <w:bCs/>
        </w:rPr>
        <w:t xml:space="preserve">Report date:</w:t>
      </w:r>
      <w:r>
        <w:t xml:space="preserve"> </w:t>
      </w:r>
      <w:r>
        <w:t xml:space="preserve">Thursday, August 6, 2026, before the U.S. market opens</w:t>
      </w:r>
      <w:r>
        <w:br/>
      </w:r>
      <w:r>
        <w:rPr>
          <w:b/>
          <w:bCs/>
        </w:rPr>
        <w:t xml:space="preserve">Event:</w:t>
      </w:r>
      <w:r>
        <w:t xml:space="preserve"> </w:t>
      </w:r>
      <w:r>
        <w:t xml:space="preserve">2026 Q2 Earnings Call</w:t>
      </w:r>
      <w:r>
        <w:br/>
      </w:r>
      <w:r>
        <w:rPr>
          <w:b/>
          <w:bCs/>
        </w:rPr>
        <w:t xml:space="preserve">Data current through:</w:t>
      </w:r>
      <w:r>
        <w:t xml:space="preserve"> </w:t>
      </w:r>
      <w:r>
        <w:t xml:space="preserve">August 5, 2026 close</w:t>
      </w:r>
    </w:p>
    <w:bookmarkStart w:id="9" w:name="X233fb11d5a1c34acef70409120e86a8b52ded82"/>
    <w:p>
      <w:pPr>
        <w:pStyle w:val="Heading2"/>
      </w:pPr>
      <w:r>
        <w:t xml:space="preserve">Investment view: execution is strong, but the bar is now high</w:t>
      </w:r>
    </w:p>
    <w:p>
      <w:pPr>
        <w:pStyle w:val="FirstParagraph"/>
      </w:pPr>
      <w:r>
        <w:t xml:space="preserve">Datadog enters Q2 earnings with substantial operating momentum and a sharply higher investor hurdle. The company’s Q1 results showed a broad-based reacceleration: revenue grew 32% year over year, existing-customer usage was the strongest sequential growth since early 2022, new-logo annualized bookings set a record, and management said the healthy trends continued into April.</w:t>
      </w:r>
    </w:p>
    <w:p>
      <w:pPr>
        <w:pStyle w:val="BodyText"/>
      </w:pPr>
      <w:r>
        <w:t xml:space="preserve">The key question for Q2 is no longer whether Datadog can deliver growth near 30%; its own guidance already implies it. The more consequential issue is whether the company can</w:t>
      </w:r>
      <w:r>
        <w:t xml:space="preserve"> </w:t>
      </w:r>
      <w:r>
        <w:rPr>
          <w:b/>
          <w:bCs/>
        </w:rPr>
        <w:t xml:space="preserve">raise the full-year outlook meaningfully</w:t>
      </w:r>
      <w:r>
        <w:t xml:space="preserve">, while demonstrating that AI-related demand is becoming both larger and more diversified—not merely concentrated in a handful of AI-native customers.</w:t>
      </w:r>
    </w:p>
    <w:p>
      <w:pPr>
        <w:pStyle w:val="BodyText"/>
      </w:pPr>
      <w:r>
        <w:t xml:space="preserve">The stock closed at</w:t>
      </w:r>
      <w:r>
        <w:t xml:space="preserve"> </w:t>
      </w:r>
      <w:r>
        <w:rPr>
          <w:b/>
          <w:bCs/>
        </w:rPr>
        <w:t xml:space="preserve">$283.21 on August 5</w:t>
      </w:r>
      <w:r>
        <w:t xml:space="preserve">, up roughly</w:t>
      </w:r>
      <w:r>
        <w:t xml:space="preserve"> </w:t>
      </w:r>
      <w:r>
        <w:rPr>
          <w:b/>
          <w:bCs/>
        </w:rPr>
        <w:t xml:space="preserve">50% since the Q1 earnings-day close</w:t>
      </w:r>
      <w:r>
        <w:t xml:space="preserve"> </w:t>
      </w:r>
      <w:r>
        <w:t xml:space="preserve">and about</w:t>
      </w:r>
      <w:r>
        <w:t xml:space="preserve"> </w:t>
      </w:r>
      <w:r>
        <w:rPr>
          <w:b/>
          <w:bCs/>
        </w:rPr>
        <w:t xml:space="preserve">97% from the day before that report</w:t>
      </w:r>
      <w:r>
        <w:t xml:space="preserve">. That appreciation increases the likelihood that a merely in-line quarter—even one that beats published guidance modestly—may be insufficient.</w:t>
      </w:r>
    </w:p>
    <w:p>
      <w:r>
        <w:pict>
          <v:rect style="width:0;height:1.5pt" o:hralign="center" o:hrstd="t" o:hr="t"/>
        </w:pict>
      </w:r>
    </w:p>
    <w:bookmarkEnd w:id="9"/>
    <w:bookmarkStart w:id="10" w:name="Xcc32576e8b7852ed958708eeefc13426572c9b7"/>
    <w:p>
      <w:pPr>
        <w:pStyle w:val="Heading2"/>
      </w:pPr>
      <w:r>
        <w:t xml:space="preserve">The numbers: consensus versus company guide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company guidance</w:t>
            </w:r>
          </w:p>
        </w:tc>
        <w:tc>
          <w:tcPr/>
          <w:p>
            <w:pPr>
              <w:pStyle w:val="Compact"/>
              <w:jc w:val="right"/>
            </w:pPr>
            <w:r>
              <w:t xml:space="preserve">Street expectation*</w:t>
            </w:r>
          </w:p>
        </w:tc>
        <w:tc>
          <w:tcPr/>
          <w:p>
            <w:pPr>
              <w:pStyle w:val="Compact"/>
            </w:pPr>
            <w:r>
              <w:t xml:space="preserve">What matters</w:t>
            </w:r>
          </w:p>
        </w:tc>
      </w:tr>
      <w:tr>
        <w:tc>
          <w:tcPr/>
          <w:p>
            <w:pPr>
              <w:pStyle w:val="Compact"/>
            </w:pPr>
            <w:r>
              <w:t xml:space="preserve">Revenue</w:t>
            </w:r>
          </w:p>
        </w:tc>
        <w:tc>
          <w:tcPr/>
          <w:p>
            <w:pPr>
              <w:pStyle w:val="Compact"/>
              <w:jc w:val="right"/>
            </w:pPr>
            <m:oMath>
              <m:r>
                <m:t>1.070</m:t>
              </m:r>
              <m:r>
                <m:t>B</m:t>
              </m:r>
              <m:r>
                <m:rPr>
                  <m:sty m:val="p"/>
                </m:rPr>
                <m:t>–</m:t>
              </m:r>
            </m:oMath>
            <w:r>
              <w:rPr>
                <w:b/>
                <w:bCs/>
              </w:rPr>
              <w:t xml:space="preserve">1.080B</w:t>
            </w:r>
          </w:p>
        </w:tc>
        <w:tc>
          <w:tcPr/>
          <w:p>
            <w:pPr>
              <w:pStyle w:val="Compact"/>
              <w:jc w:val="right"/>
            </w:pPr>
            <w:r>
              <w:rPr>
                <w:b/>
                <w:bCs/>
              </w:rPr>
              <w:t xml:space="preserve">~$1.077B</w:t>
            </w:r>
          </w:p>
        </w:tc>
        <w:tc>
          <w:tcPr/>
          <w:p>
            <w:pPr>
              <w:pStyle w:val="Compact"/>
            </w:pPr>
            <w:r>
              <w:t xml:space="preserve">A beat must likely be paired with a stronger Q3/full-year outlook.</w:t>
            </w:r>
          </w:p>
        </w:tc>
      </w:tr>
      <w:tr>
        <w:tc>
          <w:tcPr/>
          <w:p>
            <w:pPr>
              <w:pStyle w:val="Compact"/>
            </w:pPr>
            <w:r>
              <w:t xml:space="preserve">Non-GAAP EPS</w:t>
            </w:r>
          </w:p>
        </w:tc>
        <w:tc>
          <w:tcPr/>
          <w:p>
            <w:pPr>
              <w:pStyle w:val="Compact"/>
              <w:jc w:val="right"/>
            </w:pPr>
            <m:oMath>
              <m:r>
                <m:t>0.57</m:t>
              </m:r>
              <m:r>
                <m:rPr>
                  <m:sty m:val="p"/>
                </m:rPr>
                <m:t>–</m:t>
              </m:r>
            </m:oMath>
            <w:r>
              <w:rPr>
                <w:b/>
                <w:bCs/>
              </w:rPr>
              <w:t xml:space="preserve">0.59</w:t>
            </w:r>
          </w:p>
        </w:tc>
        <w:tc>
          <w:tcPr/>
          <w:p>
            <w:pPr>
              <w:pStyle w:val="Compact"/>
              <w:jc w:val="right"/>
            </w:pPr>
            <w:r>
              <w:rPr>
                <w:b/>
                <w:bCs/>
              </w:rPr>
              <w:t xml:space="preserve">~$0.60</w:t>
            </w:r>
          </w:p>
        </w:tc>
        <w:tc>
          <w:tcPr/>
          <w:p>
            <w:pPr>
              <w:pStyle w:val="Compact"/>
            </w:pPr>
            <w:r>
              <w:t xml:space="preserve">EPS is secondary to revenue, consumption trends, and forward guide.</w:t>
            </w:r>
          </w:p>
        </w:tc>
      </w:tr>
      <w:tr>
        <w:tc>
          <w:tcPr/>
          <w:p>
            <w:pPr>
              <w:pStyle w:val="Compact"/>
            </w:pPr>
            <w:r>
              <w:t xml:space="preserve">Non-GAAP operating income</w:t>
            </w:r>
          </w:p>
        </w:tc>
        <w:tc>
          <w:tcPr/>
          <w:p>
            <w:pPr>
              <w:pStyle w:val="Compact"/>
              <w:jc w:val="right"/>
            </w:pPr>
            <m:oMath>
              <m:r>
                <m:t>225</m:t>
              </m:r>
              <m:r>
                <m:t>M</m:t>
              </m:r>
              <m:r>
                <m:rPr>
                  <m:sty m:val="p"/>
                </m:rPr>
                <m:t>–</m:t>
              </m:r>
            </m:oMath>
            <w:r>
              <w:rPr>
                <w:b/>
                <w:bCs/>
              </w:rPr>
              <w:t xml:space="preserve">235M</w:t>
            </w:r>
          </w:p>
        </w:tc>
        <w:tc>
          <w:tcPr/>
          <w:p>
            <w:pPr>
              <w:pStyle w:val="Compact"/>
              <w:jc w:val="right"/>
            </w:pPr>
            <w:r>
              <w:t xml:space="preserve">—</w:t>
            </w:r>
          </w:p>
        </w:tc>
        <w:tc>
          <w:tcPr/>
          <w:p>
            <w:pPr>
              <w:pStyle w:val="Compact"/>
            </w:pPr>
            <w:r>
              <w:t xml:space="preserve">Implies roughly</w:t>
            </w:r>
            <w:r>
              <w:t xml:space="preserve"> </w:t>
            </w:r>
            <w:r>
              <w:rPr>
                <w:b/>
                <w:bCs/>
              </w:rPr>
              <w:t xml:space="preserve">21%–22%</w:t>
            </w:r>
            <w:r>
              <w:t xml:space="preserve"> </w:t>
            </w:r>
            <w:r>
              <w:t xml:space="preserve">margin at the revenue midpoint.</w:t>
            </w:r>
          </w:p>
        </w:tc>
      </w:tr>
      <w:tr>
        <w:tc>
          <w:tcPr/>
          <w:p>
            <w:pPr>
              <w:pStyle w:val="Compact"/>
            </w:pPr>
            <w:r>
              <w:t xml:space="preserve">FY26 revenue</w:t>
            </w:r>
          </w:p>
        </w:tc>
        <w:tc>
          <w:tcPr/>
          <w:p>
            <w:pPr>
              <w:pStyle w:val="Compact"/>
              <w:jc w:val="right"/>
            </w:pPr>
            <m:oMath>
              <m:r>
                <m:t>4.30</m:t>
              </m:r>
              <m:r>
                <m:t>B</m:t>
              </m:r>
              <m:r>
                <m:rPr>
                  <m:sty m:val="p"/>
                </m:rPr>
                <m:t>–</m:t>
              </m:r>
            </m:oMath>
            <w:r>
              <w:rPr>
                <w:b/>
                <w:bCs/>
              </w:rPr>
              <w:t xml:space="preserve">4.34B</w:t>
            </w:r>
          </w:p>
        </w:tc>
        <w:tc>
          <w:tcPr/>
          <w:p>
            <w:pPr>
              <w:pStyle w:val="Compact"/>
              <w:jc w:val="right"/>
            </w:pPr>
            <w:r>
              <w:t xml:space="preserve">—</w:t>
            </w:r>
          </w:p>
        </w:tc>
        <w:tc>
          <w:tcPr/>
          <w:p>
            <w:pPr>
              <w:pStyle w:val="Compact"/>
            </w:pPr>
            <w:r>
              <w:t xml:space="preserve">The most important guidepost for the stock.</w:t>
            </w:r>
          </w:p>
        </w:tc>
      </w:tr>
    </w:tbl>
    <w:p>
      <w:pPr>
        <w:pStyle w:val="BodyText"/>
      </w:pPr>
      <w:r>
        <w:t xml:space="preserve">*Street expectations cited in recent market coverage; estimates can move into the report.</w:t>
      </w:r>
    </w:p>
    <w:p>
      <w:pPr>
        <w:pStyle w:val="BodyText"/>
      </w:pPr>
      <w:r>
        <w:t xml:space="preserve">Management’s Q2 revenue midpoint of</w:t>
      </w:r>
      <w:r>
        <w:t xml:space="preserve"> </w:t>
      </w:r>
      <w:r>
        <w:rPr>
          <w:b/>
          <w:bCs/>
        </w:rPr>
        <w:t xml:space="preserve">$1.075 billion</w:t>
      </w:r>
      <w:r>
        <w:t xml:space="preserve"> </w:t>
      </w:r>
      <w:r>
        <w:t xml:space="preserve">implies approximately</w:t>
      </w:r>
      <w:r>
        <w:t xml:space="preserve"> </w:t>
      </w:r>
      <w:r>
        <w:rPr>
          <w:b/>
          <w:bCs/>
        </w:rPr>
        <w:t xml:space="preserve">30% year-over-year growth</w:t>
      </w:r>
      <w:r>
        <w:t xml:space="preserve"> </w:t>
      </w:r>
      <w:r>
        <w:t xml:space="preserve">and 6%–7% sequential growth. Thus, a reported result around $1.08 billion would satisfy the formal guidance, but investors are likely looking for evidence that the Q1 demand acceleration carried through the quarter strongly enough to support a higher second-half run rate.</w:t>
      </w:r>
    </w:p>
    <w:p>
      <w:r>
        <w:pict>
          <v:rect style="width:0;height:1.5pt" o:hralign="center" o:hrstd="t" o:hr="t"/>
        </w:pict>
      </w:r>
    </w:p>
    <w:bookmarkEnd w:id="10"/>
    <w:bookmarkStart w:id="14" w:name="why-the-setup-is-constructive"/>
    <w:p>
      <w:pPr>
        <w:pStyle w:val="Heading2"/>
      </w:pPr>
      <w:r>
        <w:t xml:space="preserve">Why the setup is constructive</w:t>
      </w:r>
    </w:p>
    <w:bookmarkStart w:id="11" w:name="X5d462469230f18ac423ed2d05971fe01ffc30ef"/>
    <w:p>
      <w:pPr>
        <w:pStyle w:val="Heading3"/>
      </w:pPr>
      <w:r>
        <w:t xml:space="preserve">1. Q1 acceleration was broad-based, not solely AI-driven</w:t>
      </w:r>
    </w:p>
    <w:p>
      <w:pPr>
        <w:pStyle w:val="FirstParagraph"/>
      </w:pPr>
      <w:r>
        <w:t xml:space="preserve">Q1 revenue reached</w:t>
      </w:r>
      <w:r>
        <w:t xml:space="preserve"> </w:t>
      </w:r>
      <w:r>
        <w:rPr>
          <w:b/>
          <w:bCs/>
        </w:rPr>
        <w:t xml:space="preserve">$1.006 billion</w:t>
      </w:r>
      <w:r>
        <w:t xml:space="preserve">, up 32% year over year, above the high end of prior guidance. More importantly, management characterized the performance as broad-based:</w:t>
      </w:r>
    </w:p>
    <w:p>
      <w:pPr>
        <w:pStyle w:val="Compact"/>
        <w:numPr>
          <w:ilvl w:val="0"/>
          <w:numId w:val="1001"/>
        </w:numPr>
      </w:pPr>
      <w:r>
        <w:t xml:space="preserve">Revenue growth among</w:t>
      </w:r>
      <w:r>
        <w:t xml:space="preserve"> </w:t>
      </w:r>
      <w:r>
        <w:rPr>
          <w:b/>
          <w:bCs/>
        </w:rPr>
        <w:t xml:space="preserve">non-AI-native customers accelerated to the mid-20% range</w:t>
      </w:r>
      <w:r>
        <w:t xml:space="preserve">, from 23% in Q4 and 19% a year earlier.</w:t>
      </w:r>
    </w:p>
    <w:p>
      <w:pPr>
        <w:pStyle w:val="Compact"/>
        <w:numPr>
          <w:ilvl w:val="0"/>
          <w:numId w:val="1001"/>
        </w:numPr>
      </w:pPr>
      <w:r>
        <w:t xml:space="preserve">The company said growth strength spanned customer sizes, industries, geographies, and spending bands.</w:t>
      </w:r>
    </w:p>
    <w:p>
      <w:pPr>
        <w:pStyle w:val="Compact"/>
        <w:numPr>
          <w:ilvl w:val="0"/>
          <w:numId w:val="1001"/>
        </w:numPr>
      </w:pPr>
      <w:r>
        <w:t xml:space="preserve">Q1 sequential usage growth from existing customers was the strongest since Q1 2022.</w:t>
      </w:r>
    </w:p>
    <w:p>
      <w:pPr>
        <w:pStyle w:val="Compact"/>
        <w:numPr>
          <w:ilvl w:val="0"/>
          <w:numId w:val="1001"/>
        </w:numPr>
      </w:pPr>
      <w:r>
        <w:t xml:space="preserve">New-logo annualized bookings set an all-time record and more than doubled year over year, with a record average land size.</w:t>
      </w:r>
    </w:p>
    <w:p>
      <w:pPr>
        <w:pStyle w:val="FirstParagraph"/>
      </w:pPr>
      <w:r>
        <w:t xml:space="preserve">This broadness matters because it supports the thesis that Datadog is benefiting from several overlapping drivers: cloud modernization, platform consolidation, increased sales capacity, security adoption, and AI-related application complexity.</w:t>
      </w:r>
    </w:p>
    <w:bookmarkEnd w:id="11"/>
    <w:bookmarkStart w:id="12" w:name="X00ff07d7f2da2fa620c10e14fe6579c2299b65c"/>
    <w:p>
      <w:pPr>
        <w:pStyle w:val="Heading3"/>
      </w:pPr>
      <w:r>
        <w:t xml:space="preserve">2. AI has become a tangible demand driver</w:t>
      </w:r>
    </w:p>
    <w:p>
      <w:pPr>
        <w:pStyle w:val="FirstParagraph"/>
      </w:pPr>
      <w:r>
        <w:t xml:space="preserve">Datadog is positioning AI as both:</w:t>
      </w:r>
    </w:p>
    <w:p>
      <w:pPr>
        <w:pStyle w:val="Compact"/>
        <w:numPr>
          <w:ilvl w:val="0"/>
          <w:numId w:val="1002"/>
        </w:numPr>
      </w:pPr>
      <w:r>
        <w:rPr>
          <w:b/>
          <w:bCs/>
        </w:rPr>
        <w:t xml:space="preserve">“Datadog for AI”</w:t>
      </w:r>
      <w:r>
        <w:t xml:space="preserve"> </w:t>
      </w:r>
      <w:r>
        <w:t xml:space="preserve">— monitoring AI applications, LLMs, GPUs, inference workloads, and potentially training environments; and</w:t>
      </w:r>
    </w:p>
    <w:p>
      <w:pPr>
        <w:pStyle w:val="Compact"/>
        <w:numPr>
          <w:ilvl w:val="0"/>
          <w:numId w:val="1002"/>
        </w:numPr>
      </w:pPr>
      <w:r>
        <w:rPr>
          <w:b/>
          <w:bCs/>
        </w:rPr>
        <w:t xml:space="preserve">“AI for Datadog”</w:t>
      </w:r>
      <w:r>
        <w:t xml:space="preserve"> </w:t>
      </w:r>
      <w:r>
        <w:t xml:space="preserve">— using AI agents and assistants to automate investigation, remediation, security analysis, and developer workflows.</w:t>
      </w:r>
    </w:p>
    <w:p>
      <w:pPr>
        <w:pStyle w:val="FirstParagraph"/>
      </w:pPr>
      <w:r>
        <w:t xml:space="preserve">At Q1, management disclosed:</w:t>
      </w:r>
    </w:p>
    <w:p>
      <w:pPr>
        <w:pStyle w:val="Compact"/>
        <w:numPr>
          <w:ilvl w:val="0"/>
          <w:numId w:val="1003"/>
        </w:numPr>
      </w:pPr>
      <w:r>
        <w:t xml:space="preserve">More than</w:t>
      </w:r>
      <w:r>
        <w:t xml:space="preserve"> </w:t>
      </w:r>
      <w:r>
        <w:rPr>
          <w:b/>
          <w:bCs/>
        </w:rPr>
        <w:t xml:space="preserve">6,500 customers</w:t>
      </w:r>
      <w:r>
        <w:t xml:space="preserve"> </w:t>
      </w:r>
      <w:r>
        <w:t xml:space="preserve">were sending data through one or more AI integrations.</w:t>
      </w:r>
    </w:p>
    <w:p>
      <w:pPr>
        <w:pStyle w:val="Compact"/>
        <w:numPr>
          <w:ilvl w:val="0"/>
          <w:numId w:val="1003"/>
        </w:numPr>
      </w:pPr>
      <w:r>
        <w:t xml:space="preserve">Those customers represented only about</w:t>
      </w:r>
      <w:r>
        <w:t xml:space="preserve"> </w:t>
      </w:r>
      <w:r>
        <w:rPr>
          <w:b/>
          <w:bCs/>
        </w:rPr>
        <w:t xml:space="preserve">20% of total customers</w:t>
      </w:r>
      <w:r>
        <w:t xml:space="preserve">, but approximately</w:t>
      </w:r>
      <w:r>
        <w:t xml:space="preserve"> </w:t>
      </w:r>
      <w:r>
        <w:rPr>
          <w:b/>
          <w:bCs/>
        </w:rPr>
        <w:t xml:space="preserve">80% of ARR</w:t>
      </w:r>
      <w:r>
        <w:t xml:space="preserve">.</w:t>
      </w:r>
    </w:p>
    <w:p>
      <w:pPr>
        <w:pStyle w:val="Compact"/>
        <w:numPr>
          <w:ilvl w:val="0"/>
          <w:numId w:val="1003"/>
        </w:numPr>
      </w:pPr>
      <w:r>
        <w:t xml:space="preserve">Two large AI research organizations signed major annualized deals, including one seven-figure and one eight-figure deal.</w:t>
      </w:r>
    </w:p>
    <w:p>
      <w:pPr>
        <w:pStyle w:val="Compact"/>
        <w:numPr>
          <w:ilvl w:val="0"/>
          <w:numId w:val="1003"/>
        </w:numPr>
      </w:pPr>
      <w:r>
        <w:t xml:space="preserve">Datadog is seeing early demand for GPU monitoring and training-workload observability, including from large technology companies that traditionally build more tooling internally.</w:t>
      </w:r>
    </w:p>
    <w:p>
      <w:pPr>
        <w:pStyle w:val="FirstParagraph"/>
      </w:pPr>
      <w:r>
        <w:t xml:space="preserve">The important next step is evidence that this demand is moving from product enthusiasm and large individual wins into a repeatable, diversified revenue stream.</w:t>
      </w:r>
    </w:p>
    <w:bookmarkEnd w:id="12"/>
    <w:bookmarkStart w:id="13" w:name="Xf935e7fed86c8840223f9f402ee4f08bdfa5550"/>
    <w:p>
      <w:pPr>
        <w:pStyle w:val="Heading3"/>
      </w:pPr>
      <w:r>
        <w:t xml:space="preserve">3. Platform consolidation remains a durable expansion lever</w:t>
      </w:r>
    </w:p>
    <w:p>
      <w:pPr>
        <w:pStyle w:val="FirstParagraph"/>
      </w:pPr>
      <w:r>
        <w:t xml:space="preserve">Datadog’s central strategic advantage remains its ability to consolidate fragmented observability and security tooling. Q1 customer adoption metrics reinforce that dynamic:</w:t>
      </w:r>
    </w:p>
    <w:p>
      <w:pPr>
        <w:pStyle w:val="Compact"/>
        <w:numPr>
          <w:ilvl w:val="0"/>
          <w:numId w:val="1004"/>
        </w:numPr>
      </w:pPr>
      <w:r>
        <w:rPr>
          <w:b/>
          <w:bCs/>
        </w:rPr>
        <w:t xml:space="preserve">56%</w:t>
      </w:r>
      <w:r>
        <w:t xml:space="preserve"> </w:t>
      </w:r>
      <w:r>
        <w:t xml:space="preserve">of customers used four or more products, versus 51% a year ago.</w:t>
      </w:r>
    </w:p>
    <w:p>
      <w:pPr>
        <w:pStyle w:val="Compact"/>
        <w:numPr>
          <w:ilvl w:val="0"/>
          <w:numId w:val="1004"/>
        </w:numPr>
      </w:pPr>
      <w:r>
        <w:rPr>
          <w:b/>
          <w:bCs/>
        </w:rPr>
        <w:t xml:space="preserve">35%</w:t>
      </w:r>
      <w:r>
        <w:t xml:space="preserve"> </w:t>
      </w:r>
      <w:r>
        <w:t xml:space="preserve">used six or more products, versus 28%.</w:t>
      </w:r>
    </w:p>
    <w:p>
      <w:pPr>
        <w:pStyle w:val="Compact"/>
        <w:numPr>
          <w:ilvl w:val="0"/>
          <w:numId w:val="1004"/>
        </w:numPr>
      </w:pPr>
      <w:r>
        <w:rPr>
          <w:b/>
          <w:bCs/>
        </w:rPr>
        <w:t xml:space="preserve">20%</w:t>
      </w:r>
      <w:r>
        <w:t xml:space="preserve"> </w:t>
      </w:r>
      <w:r>
        <w:t xml:space="preserve">used eight or more products, versus 13%.</w:t>
      </w:r>
    </w:p>
    <w:p>
      <w:pPr>
        <w:pStyle w:val="FirstParagraph"/>
      </w:pPr>
      <w:r>
        <w:t xml:space="preserve">Management has emphasized displacement of open-source tools and point solutions, especially where customers want one real-time data model across infrastructure, applications, logs, digital experience, security, and now AI workloads. This supports expansion within the installed base and helps reduce reliance on a single product category.</w:t>
      </w:r>
    </w:p>
    <w:p>
      <w:r>
        <w:pict>
          <v:rect style="width:0;height:1.5pt" o:hralign="center" o:hrstd="t" o:hr="t"/>
        </w:pict>
      </w:r>
    </w:p>
    <w:bookmarkEnd w:id="13"/>
    <w:bookmarkEnd w:id="14"/>
    <w:bookmarkStart w:id="20" w:name="the-most-important-items-to-watch"/>
    <w:p>
      <w:pPr>
        <w:pStyle w:val="Heading2"/>
      </w:pPr>
      <w:r>
        <w:t xml:space="preserve">The most important items to watch</w:t>
      </w:r>
    </w:p>
    <w:bookmarkStart w:id="15" w:name="X665ec749da6f18f73c608821b99babf7564e40f"/>
    <w:p>
      <w:pPr>
        <w:pStyle w:val="Heading3"/>
      </w:pPr>
      <w:r>
        <w:t xml:space="preserve">1. Full-year revenue guidance</w:t>
      </w:r>
    </w:p>
    <w:p>
      <w:pPr>
        <w:pStyle w:val="FirstParagraph"/>
      </w:pPr>
      <w:r>
        <w:t xml:space="preserve">This is the headline item.</w:t>
      </w:r>
    </w:p>
    <w:p>
      <w:pPr>
        <w:pStyle w:val="BodyText"/>
      </w:pPr>
      <w:r>
        <w:t xml:space="preserve">Datadog’s current FY26 revenue guide is</w:t>
      </w:r>
      <w:r>
        <w:t xml:space="preserve"> </w:t>
      </w:r>
      <w:r>
        <w:rPr>
          <w:b/>
          <w:bCs/>
        </w:rPr>
        <w:t xml:space="preserve">$4.30 billion to $4.34 billion</w:t>
      </w:r>
      <w:r>
        <w:t xml:space="preserve">, equivalent to 25%–27% growth. Given the Q1 beat and the Q2 outlook, investors will assess:</w:t>
      </w:r>
    </w:p>
    <w:p>
      <w:pPr>
        <w:pStyle w:val="Compact"/>
        <w:numPr>
          <w:ilvl w:val="0"/>
          <w:numId w:val="1005"/>
        </w:numPr>
      </w:pPr>
      <w:r>
        <w:t xml:space="preserve">Whether FY26 guidance is raised;</w:t>
      </w:r>
    </w:p>
    <w:p>
      <w:pPr>
        <w:pStyle w:val="Compact"/>
        <w:numPr>
          <w:ilvl w:val="0"/>
          <w:numId w:val="1005"/>
        </w:numPr>
      </w:pPr>
      <w:r>
        <w:t xml:space="preserve">How much of any raise reflects Q2 outperformance versus improved second-half assumptions;</w:t>
      </w:r>
    </w:p>
    <w:p>
      <w:pPr>
        <w:pStyle w:val="Compact"/>
        <w:numPr>
          <w:ilvl w:val="0"/>
          <w:numId w:val="1005"/>
        </w:numPr>
      </w:pPr>
      <w:r>
        <w:t xml:space="preserve">Whether management maintains its characteristic conservatism around large customers; and</w:t>
      </w:r>
    </w:p>
    <w:p>
      <w:pPr>
        <w:pStyle w:val="Compact"/>
        <w:numPr>
          <w:ilvl w:val="0"/>
          <w:numId w:val="1005"/>
        </w:numPr>
      </w:pPr>
      <w:r>
        <w:t xml:space="preserve">Whether the implied Q3 growth trajectory remains around, or above, 30%.</w:t>
      </w:r>
    </w:p>
    <w:p>
      <w:pPr>
        <w:pStyle w:val="FirstParagraph"/>
      </w:pPr>
      <w:r>
        <w:t xml:space="preserve">A small raise may be viewed as prudent. But after the stock’s run, it could also signal that management remains cautious about the durability of usage growth or the predictability of large AI-native accounts.</w:t>
      </w:r>
    </w:p>
    <w:bookmarkEnd w:id="15"/>
    <w:bookmarkStart w:id="16" w:name="X919026a355d42d026a4c5997c8d8b4ec05b3159"/>
    <w:p>
      <w:pPr>
        <w:pStyle w:val="Heading3"/>
      </w:pPr>
      <w:r>
        <w:t xml:space="preserve">2. AI-native customer concentration and optimization risk</w:t>
      </w:r>
    </w:p>
    <w:p>
      <w:pPr>
        <w:pStyle w:val="FirstParagraph"/>
      </w:pPr>
      <w:r>
        <w:t xml:space="preserve">This is the central risk in the quarter.</w:t>
      </w:r>
    </w:p>
    <w:p>
      <w:pPr>
        <w:pStyle w:val="BodyText"/>
      </w:pPr>
      <w:r>
        <w:t xml:space="preserve">Datadog’s AI-native cohort is growing faster than the rest of the business, but management has specifically noted that this cohort includes its largest customer and that fast-growing customers can optimize usage or change spending patterns. In Q1, management applied a greater degree of conservatism to its largest customer in guidance.</w:t>
      </w:r>
    </w:p>
    <w:p>
      <w:pPr>
        <w:pStyle w:val="BodyText"/>
      </w:pPr>
      <w:r>
        <w:t xml:space="preserve">Investors should listen for:</w:t>
      </w:r>
    </w:p>
    <w:p>
      <w:pPr>
        <w:pStyle w:val="Compact"/>
        <w:numPr>
          <w:ilvl w:val="0"/>
          <w:numId w:val="1006"/>
        </w:numPr>
      </w:pPr>
      <w:r>
        <w:t xml:space="preserve">Growth and diversification within AI-native revenue;</w:t>
      </w:r>
    </w:p>
    <w:p>
      <w:pPr>
        <w:pStyle w:val="Compact"/>
        <w:numPr>
          <w:ilvl w:val="0"/>
          <w:numId w:val="1006"/>
        </w:numPr>
      </w:pPr>
      <w:r>
        <w:t xml:space="preserve">Updates on the number of $1 million-plus and $10 million-plus AI-native customers;</w:t>
      </w:r>
    </w:p>
    <w:p>
      <w:pPr>
        <w:pStyle w:val="Compact"/>
        <w:numPr>
          <w:ilvl w:val="0"/>
          <w:numId w:val="1006"/>
        </w:numPr>
      </w:pPr>
      <w:r>
        <w:t xml:space="preserve">Commentary on consumption volatility, optimization, and renewals;</w:t>
      </w:r>
    </w:p>
    <w:p>
      <w:pPr>
        <w:pStyle w:val="Compact"/>
        <w:numPr>
          <w:ilvl w:val="0"/>
          <w:numId w:val="1006"/>
        </w:numPr>
      </w:pPr>
      <w:r>
        <w:t xml:space="preserve">The conversion pace of large research-lab wins into recognized revenue; and</w:t>
      </w:r>
    </w:p>
    <w:p>
      <w:pPr>
        <w:pStyle w:val="Compact"/>
        <w:numPr>
          <w:ilvl w:val="0"/>
          <w:numId w:val="1006"/>
        </w:numPr>
      </w:pPr>
      <w:r>
        <w:t xml:space="preserve">Whether GPU monitoring and LLM observability are producing material incremental usage.</w:t>
      </w:r>
    </w:p>
    <w:p>
      <w:pPr>
        <w:pStyle w:val="FirstParagraph"/>
      </w:pPr>
      <w:r>
        <w:t xml:space="preserve">The bullish outcome is evidence that AI activity is broadening beyond a few frontier labs. The bearish outcome is a more cautious discussion of consumption normalization, customer optimization, or elevated concentration.</w:t>
      </w:r>
    </w:p>
    <w:bookmarkEnd w:id="16"/>
    <w:bookmarkStart w:id="17" w:name="X772097722efc5115bf5198d7b0394d663d802e1"/>
    <w:p>
      <w:pPr>
        <w:pStyle w:val="Heading3"/>
      </w:pPr>
      <w:r>
        <w:t xml:space="preserve">3. Non-AI customer growth</w:t>
      </w:r>
    </w:p>
    <w:p>
      <w:pPr>
        <w:pStyle w:val="FirstParagraph"/>
      </w:pPr>
      <w:r>
        <w:t xml:space="preserve">The strongest validation of Datadog’s long-term thesis would be continued non-AI growth in the mid-20% range or better.</w:t>
      </w:r>
    </w:p>
    <w:p>
      <w:pPr>
        <w:pStyle w:val="BodyText"/>
      </w:pPr>
      <w:r>
        <w:t xml:space="preserve">This cohort is important because it captures enterprises modernizing applications, consolidating observability tools, adopting cloud security, and adding AI capabilities to existing products. Sustained acceleration here would make Datadog’s growth profile more resilient and reduce concerns that the recent strength is primarily tied to a narrow AI-spending cycle.</w:t>
      </w:r>
    </w:p>
    <w:bookmarkEnd w:id="17"/>
    <w:bookmarkStart w:id="18" w:name="Xffcb1940451d2d1bae71ae80242877f121fa911"/>
    <w:p>
      <w:pPr>
        <w:pStyle w:val="Heading3"/>
      </w:pPr>
      <w:r>
        <w:t xml:space="preserve">4. Net revenue retention, large-customer count, and multi-product adoption</w:t>
      </w:r>
    </w:p>
    <w:p>
      <w:pPr>
        <w:pStyle w:val="FirstParagraph"/>
      </w:pPr>
      <w:r>
        <w:t xml:space="preserve">Key operating metrics to monitor:</w:t>
      </w:r>
    </w:p>
    <w:p>
      <w:pPr>
        <w:pStyle w:val="Compact"/>
        <w:numPr>
          <w:ilvl w:val="0"/>
          <w:numId w:val="1007"/>
        </w:numPr>
      </w:pPr>
      <w:r>
        <w:rPr>
          <w:b/>
          <w:bCs/>
        </w:rPr>
        <w:t xml:space="preserve">Trailing-12-month net revenue retention:</w:t>
      </w:r>
      <w:r>
        <w:t xml:space="preserve"> </w:t>
      </w:r>
      <w:r>
        <w:t xml:space="preserve">low 120% in Q1.</w:t>
      </w:r>
    </w:p>
    <w:p>
      <w:pPr>
        <w:pStyle w:val="Compact"/>
        <w:numPr>
          <w:ilvl w:val="0"/>
          <w:numId w:val="1007"/>
        </w:numPr>
      </w:pPr>
      <w:r>
        <w:rPr>
          <w:b/>
          <w:bCs/>
        </w:rPr>
        <w:t xml:space="preserve">Gross retention:</w:t>
      </w:r>
      <w:r>
        <w:t xml:space="preserve"> </w:t>
      </w:r>
      <w:r>
        <w:t xml:space="preserve">mid- to high-90% range in Q1.</w:t>
      </w:r>
    </w:p>
    <w:p>
      <w:pPr>
        <w:pStyle w:val="Compact"/>
        <w:numPr>
          <w:ilvl w:val="0"/>
          <w:numId w:val="1007"/>
        </w:numPr>
      </w:pPr>
      <w:r>
        <w:rPr>
          <w:b/>
          <w:bCs/>
        </w:rPr>
        <w:t xml:space="preserve">$100,000+ ARR customers:</w:t>
      </w:r>
      <w:r>
        <w:t xml:space="preserve"> </w:t>
      </w:r>
      <w:r>
        <w:t xml:space="preserve">approximately 4,550 at Q1 end, up 21% year over year.</w:t>
      </w:r>
    </w:p>
    <w:p>
      <w:pPr>
        <w:pStyle w:val="Compact"/>
        <w:numPr>
          <w:ilvl w:val="0"/>
          <w:numId w:val="1007"/>
        </w:numPr>
      </w:pPr>
      <w:r>
        <w:rPr>
          <w:b/>
          <w:bCs/>
        </w:rPr>
        <w:t xml:space="preserve">Total customers:</w:t>
      </w:r>
      <w:r>
        <w:t xml:space="preserve"> </w:t>
      </w:r>
      <w:r>
        <w:t xml:space="preserve">approximately 33,200 at Q1 end.</w:t>
      </w:r>
    </w:p>
    <w:p>
      <w:pPr>
        <w:pStyle w:val="Compact"/>
        <w:numPr>
          <w:ilvl w:val="0"/>
          <w:numId w:val="1007"/>
        </w:numPr>
      </w:pPr>
      <w:r>
        <w:rPr>
          <w:b/>
          <w:bCs/>
        </w:rPr>
        <w:t xml:space="preserve">Multi-product adoption:</w:t>
      </w:r>
      <w:r>
        <w:t xml:space="preserve"> </w:t>
      </w:r>
      <w:r>
        <w:t xml:space="preserve">continued progression in four-, six-, and eight-product customer cohorts.</w:t>
      </w:r>
    </w:p>
    <w:p>
      <w:pPr>
        <w:pStyle w:val="FirstParagraph"/>
      </w:pPr>
      <w:r>
        <w:t xml:space="preserve">These are more revealing than a single quarter’s billings figure. Datadog itself cautions that billings and RPO can be affected by contract duration and multiyear-deal mix.</w:t>
      </w:r>
    </w:p>
    <w:bookmarkEnd w:id="18"/>
    <w:bookmarkStart w:id="19" w:name="X3e6b410e6ceb72a0bfc8ae357cd6c0e93300ad7"/>
    <w:p>
      <w:pPr>
        <w:pStyle w:val="Heading3"/>
      </w:pPr>
      <w:r>
        <w:t xml:space="preserve">5. Margin discipline after DASH and ongoing AI investment</w:t>
      </w:r>
    </w:p>
    <w:p>
      <w:pPr>
        <w:pStyle w:val="FirstParagraph"/>
      </w:pPr>
      <w:r>
        <w:t xml:space="preserve">Q2 guidance embeds roughly</w:t>
      </w:r>
      <w:r>
        <w:t xml:space="preserve"> </w:t>
      </w:r>
      <w:r>
        <w:rPr>
          <w:b/>
          <w:bCs/>
        </w:rPr>
        <w:t xml:space="preserve">$15 million of expense</w:t>
      </w:r>
      <w:r>
        <w:t xml:space="preserve"> </w:t>
      </w:r>
      <w:r>
        <w:t xml:space="preserve">for the DASH user conference. That creates a potential margin tailwind in Q3, but Datadog is also investing heavily in:</w:t>
      </w:r>
    </w:p>
    <w:p>
      <w:pPr>
        <w:pStyle w:val="Compact"/>
        <w:numPr>
          <w:ilvl w:val="0"/>
          <w:numId w:val="1008"/>
        </w:numPr>
      </w:pPr>
      <w:r>
        <w:t xml:space="preserve">R&amp;D and AI product development;</w:t>
      </w:r>
    </w:p>
    <w:p>
      <w:pPr>
        <w:pStyle w:val="Compact"/>
        <w:numPr>
          <w:ilvl w:val="0"/>
          <w:numId w:val="1008"/>
        </w:numPr>
      </w:pPr>
      <w:r>
        <w:t xml:space="preserve">Sales capacity and international expansion;</w:t>
      </w:r>
    </w:p>
    <w:p>
      <w:pPr>
        <w:pStyle w:val="Compact"/>
        <w:numPr>
          <w:ilvl w:val="0"/>
          <w:numId w:val="1008"/>
        </w:numPr>
      </w:pPr>
      <w:r>
        <w:t xml:space="preserve">Security specialist sales;</w:t>
      </w:r>
    </w:p>
    <w:p>
      <w:pPr>
        <w:pStyle w:val="Compact"/>
        <w:numPr>
          <w:ilvl w:val="0"/>
          <w:numId w:val="1008"/>
        </w:numPr>
      </w:pPr>
      <w:r>
        <w:t xml:space="preserve">Public-sector go-to-market efforts; and</w:t>
      </w:r>
    </w:p>
    <w:p>
      <w:pPr>
        <w:pStyle w:val="Compact"/>
        <w:numPr>
          <w:ilvl w:val="0"/>
          <w:numId w:val="1008"/>
        </w:numPr>
      </w:pPr>
      <w:r>
        <w:t xml:space="preserve">Cloud-premise/data-residency capabilities.</w:t>
      </w:r>
    </w:p>
    <w:p>
      <w:pPr>
        <w:pStyle w:val="FirstParagraph"/>
      </w:pPr>
      <w:r>
        <w:t xml:space="preserve">Q1 non-GAAP operating margin was 22%, while free-cash-flow margin was about 29%. Investors should focus on whether management can sustain low-20% operating margins while continuing to invest behind what it sees as unusually attractive demand opportunities.</w:t>
      </w:r>
    </w:p>
    <w:p>
      <w:r>
        <w:pict>
          <v:rect style="width:0;height:1.5pt" o:hralign="center" o:hrstd="t" o:hr="t"/>
        </w:pict>
      </w:r>
    </w:p>
    <w:bookmarkEnd w:id="19"/>
    <w:bookmarkEnd w:id="20"/>
    <w:bookmarkStart w:id="24" w:name="bull-base-and-bear-cases"/>
    <w:p>
      <w:pPr>
        <w:pStyle w:val="Heading2"/>
      </w:pPr>
      <w:r>
        <w:t xml:space="preserve">Bull, base, and bear cases</w:t>
      </w:r>
    </w:p>
    <w:bookmarkStart w:id="21" w:name="bull-case"/>
    <w:p>
      <w:pPr>
        <w:pStyle w:val="Heading3"/>
      </w:pPr>
      <w:r>
        <w:t xml:space="preserve">Bull case</w:t>
      </w:r>
    </w:p>
    <w:p>
      <w:pPr>
        <w:pStyle w:val="Compact"/>
        <w:numPr>
          <w:ilvl w:val="0"/>
          <w:numId w:val="1009"/>
        </w:numPr>
      </w:pPr>
      <w:r>
        <w:t xml:space="preserve">Revenue beats the top end of guidance by a meaningful amount.</w:t>
      </w:r>
    </w:p>
    <w:p>
      <w:pPr>
        <w:pStyle w:val="Compact"/>
        <w:numPr>
          <w:ilvl w:val="0"/>
          <w:numId w:val="1009"/>
        </w:numPr>
      </w:pPr>
      <w:r>
        <w:t xml:space="preserve">Full-year revenue guidance rises decisively, with favorable implied Q3 growth.</w:t>
      </w:r>
    </w:p>
    <w:p>
      <w:pPr>
        <w:pStyle w:val="Compact"/>
        <w:numPr>
          <w:ilvl w:val="0"/>
          <w:numId w:val="1009"/>
        </w:numPr>
      </w:pPr>
      <w:r>
        <w:t xml:space="preserve">AI-native demand remains strong but is increasingly diversified.</w:t>
      </w:r>
    </w:p>
    <w:p>
      <w:pPr>
        <w:pStyle w:val="Compact"/>
        <w:numPr>
          <w:ilvl w:val="0"/>
          <w:numId w:val="1009"/>
        </w:numPr>
      </w:pPr>
      <w:r>
        <w:t xml:space="preserve">Non-AI growth sustains its mid-20% trajectory.</w:t>
      </w:r>
    </w:p>
    <w:p>
      <w:pPr>
        <w:pStyle w:val="Compact"/>
        <w:numPr>
          <w:ilvl w:val="0"/>
          <w:numId w:val="1009"/>
        </w:numPr>
      </w:pPr>
      <w:r>
        <w:t xml:space="preserve">Net retention improves or remains firmly above 120%.</w:t>
      </w:r>
    </w:p>
    <w:p>
      <w:pPr>
        <w:pStyle w:val="Compact"/>
        <w:numPr>
          <w:ilvl w:val="0"/>
          <w:numId w:val="1009"/>
        </w:numPr>
      </w:pPr>
      <w:r>
        <w:t xml:space="preserve">Management signals that GPU monitoring, LLM observability, Bits AI, and security are becoming increasingly material expansion vectors.</w:t>
      </w:r>
    </w:p>
    <w:p>
      <w:pPr>
        <w:pStyle w:val="FirstParagraph"/>
      </w:pPr>
      <w:r>
        <w:rPr>
          <w:b/>
          <w:bCs/>
        </w:rPr>
        <w:t xml:space="preserve">What it would mean:</w:t>
      </w:r>
      <w:r>
        <w:t xml:space="preserve"> </w:t>
      </w:r>
      <w:r>
        <w:t xml:space="preserve">Datadog may be establishing a more durable 30%-plus growth profile than investors had expected, supported by both core platform consolidation and AI infrastructure demand.</w:t>
      </w:r>
    </w:p>
    <w:bookmarkEnd w:id="21"/>
    <w:bookmarkStart w:id="22" w:name="base-case"/>
    <w:p>
      <w:pPr>
        <w:pStyle w:val="Heading3"/>
      </w:pPr>
      <w:r>
        <w:t xml:space="preserve">Base case</w:t>
      </w:r>
    </w:p>
    <w:p>
      <w:pPr>
        <w:pStyle w:val="Compact"/>
        <w:numPr>
          <w:ilvl w:val="0"/>
          <w:numId w:val="1010"/>
        </w:numPr>
      </w:pPr>
      <w:r>
        <w:t xml:space="preserve">Revenue lands modestly above the</w:t>
      </w:r>
      <w:r>
        <w:t xml:space="preserve"> </w:t>
      </w:r>
      <m:oMath>
        <m:r>
          <m:t>1.07</m:t>
        </m:r>
        <m:r>
          <m:t>b</m:t>
        </m:r>
        <m:r>
          <m:t>i</m:t>
        </m:r>
        <m:r>
          <m:t>l</m:t>
        </m:r>
        <m:r>
          <m:t>l</m:t>
        </m:r>
        <m:r>
          <m:t>i</m:t>
        </m:r>
        <m:r>
          <m:t>o</m:t>
        </m:r>
        <m:r>
          <m:t>n</m:t>
        </m:r>
        <m:r>
          <m:rPr>
            <m:sty m:val="p"/>
          </m:rPr>
          <m:t>–</m:t>
        </m:r>
      </m:oMath>
      <w:r>
        <w:t xml:space="preserve">1.08 billion guide.</w:t>
      </w:r>
    </w:p>
    <w:p>
      <w:pPr>
        <w:pStyle w:val="Compact"/>
        <w:numPr>
          <w:ilvl w:val="0"/>
          <w:numId w:val="1010"/>
        </w:numPr>
      </w:pPr>
      <w:r>
        <w:t xml:space="preserve">FY26 guidance rises, but only modestly.</w:t>
      </w:r>
    </w:p>
    <w:p>
      <w:pPr>
        <w:pStyle w:val="Compact"/>
        <w:numPr>
          <w:ilvl w:val="0"/>
          <w:numId w:val="1010"/>
        </w:numPr>
      </w:pPr>
      <w:r>
        <w:t xml:space="preserve">Management reiterates broad demand strength while remaining cautious on large customers and second-half usage assumptions.</w:t>
      </w:r>
    </w:p>
    <w:p>
      <w:pPr>
        <w:pStyle w:val="Compact"/>
        <w:numPr>
          <w:ilvl w:val="0"/>
          <w:numId w:val="1010"/>
        </w:numPr>
      </w:pPr>
      <w:r>
        <w:t xml:space="preserve">Margins remain near the guided low-20% range.</w:t>
      </w:r>
    </w:p>
    <w:p>
      <w:pPr>
        <w:pStyle w:val="FirstParagraph"/>
      </w:pPr>
      <w:r>
        <w:rPr>
          <w:b/>
          <w:bCs/>
        </w:rPr>
        <w:t xml:space="preserve">What it would mean:</w:t>
      </w:r>
      <w:r>
        <w:t xml:space="preserve"> </w:t>
      </w:r>
      <w:r>
        <w:t xml:space="preserve">Fundamentals remain healthy, but the result may not fully clear the elevated expectations embedded in the stock after its sharp rally.</w:t>
      </w:r>
    </w:p>
    <w:bookmarkEnd w:id="22"/>
    <w:bookmarkStart w:id="23" w:name="bear-case"/>
    <w:p>
      <w:pPr>
        <w:pStyle w:val="Heading3"/>
      </w:pPr>
      <w:r>
        <w:t xml:space="preserve">Bear case</w:t>
      </w:r>
    </w:p>
    <w:p>
      <w:pPr>
        <w:pStyle w:val="Compact"/>
        <w:numPr>
          <w:ilvl w:val="0"/>
          <w:numId w:val="1011"/>
        </w:numPr>
      </w:pPr>
      <w:r>
        <w:t xml:space="preserve">Revenue or EPS is only in line, accompanied by limited or no full-year guide raise.</w:t>
      </w:r>
    </w:p>
    <w:p>
      <w:pPr>
        <w:pStyle w:val="Compact"/>
        <w:numPr>
          <w:ilvl w:val="0"/>
          <w:numId w:val="1011"/>
        </w:numPr>
      </w:pPr>
      <w:r>
        <w:t xml:space="preserve">Management calls out consumption optimization or increased uncertainty among large AI-native customers.</w:t>
      </w:r>
    </w:p>
    <w:p>
      <w:pPr>
        <w:pStyle w:val="Compact"/>
        <w:numPr>
          <w:ilvl w:val="0"/>
          <w:numId w:val="1011"/>
        </w:numPr>
      </w:pPr>
      <w:r>
        <w:t xml:space="preserve">Non-AI growth slows, weakening the argument for broad-based acceleration.</w:t>
      </w:r>
    </w:p>
    <w:p>
      <w:pPr>
        <w:pStyle w:val="Compact"/>
        <w:numPr>
          <w:ilvl w:val="0"/>
          <w:numId w:val="1011"/>
        </w:numPr>
      </w:pPr>
      <w:r>
        <w:t xml:space="preserve">Operating-margin outlook deteriorates due to intensified AI, infrastructure, or go-to-market investment.</w:t>
      </w:r>
    </w:p>
    <w:p>
      <w:pPr>
        <w:pStyle w:val="FirstParagraph"/>
      </w:pPr>
      <w:r>
        <w:rPr>
          <w:b/>
          <w:bCs/>
        </w:rPr>
        <w:t xml:space="preserve">What it would mean:</w:t>
      </w:r>
      <w:r>
        <w:t xml:space="preserve"> </w:t>
      </w:r>
      <w:r>
        <w:t xml:space="preserve">The market could reassess whether Q1 was a peak acceleration point rather than the start of a sustained new growth phase.</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Datadog’s Q2 report is primarily a</w:t>
      </w:r>
      <w:r>
        <w:t xml:space="preserve"> </w:t>
      </w:r>
      <w:r>
        <w:rPr>
          <w:b/>
          <w:bCs/>
        </w:rPr>
        <w:t xml:space="preserve">durability test</w:t>
      </w:r>
      <w:r>
        <w:t xml:space="preserve">. Q1 established that the company can reaccelerate growth, win large AI-related workloads, and extend its platform into security and AI observability. For Q2, investors need confirmation that:</w:t>
      </w:r>
    </w:p>
    <w:p>
      <w:pPr>
        <w:pStyle w:val="Compact"/>
        <w:numPr>
          <w:ilvl w:val="0"/>
          <w:numId w:val="1012"/>
        </w:numPr>
      </w:pPr>
      <w:r>
        <w:t xml:space="preserve">demand stayed strong through the quarter;</w:t>
      </w:r>
    </w:p>
    <w:p>
      <w:pPr>
        <w:pStyle w:val="Compact"/>
        <w:numPr>
          <w:ilvl w:val="0"/>
          <w:numId w:val="1012"/>
        </w:numPr>
      </w:pPr>
      <w:r>
        <w:t xml:space="preserve">growth is broad across both AI and non-AI customers;</w:t>
      </w:r>
    </w:p>
    <w:p>
      <w:pPr>
        <w:pStyle w:val="Compact"/>
        <w:numPr>
          <w:ilvl w:val="0"/>
          <w:numId w:val="1012"/>
        </w:numPr>
      </w:pPr>
      <w:r>
        <w:t xml:space="preserve">the largest AI-related accounts are not creating excessive volatility; and</w:t>
      </w:r>
    </w:p>
    <w:p>
      <w:pPr>
        <w:pStyle w:val="Compact"/>
        <w:numPr>
          <w:ilvl w:val="0"/>
          <w:numId w:val="1012"/>
        </w:numPr>
      </w:pPr>
      <w:r>
        <w:t xml:space="preserve">the company can raise FY26 expectations while maintaining its margin and cash-flow profile.</w:t>
      </w:r>
    </w:p>
    <w:p>
      <w:pPr>
        <w:pStyle w:val="FirstParagraph"/>
      </w:pPr>
      <w:r>
        <w:t xml:space="preserve">With DDOG up sharply since the May 7 report, the stock likely requires a combination of</w:t>
      </w:r>
      <w:r>
        <w:t xml:space="preserve"> </w:t>
      </w:r>
      <w:r>
        <w:rPr>
          <w:b/>
          <w:bCs/>
        </w:rPr>
        <w:t xml:space="preserve">revenue outperformance, stronger forward guidance, and credible evidence of broad AI monetization</w:t>
      </w:r>
      <w:r>
        <w:t xml:space="preserve"> </w:t>
      </w:r>
      <w:r>
        <w:t xml:space="preserve">to react positively.</w:t>
      </w:r>
    </w:p>
    <w:p>
      <w:pPr>
        <w:pStyle w:val="BlockText"/>
      </w:pPr>
      <w:r>
        <w:rPr>
          <w:b/>
          <w:bCs/>
        </w:rPr>
        <w:t xml:space="preserve">Sources:</w:t>
      </w:r>
      <w:r>
        <w:t xml:space="preserve"> </w:t>
      </w:r>
      <w:r>
        <w:t xml:space="preserve">Datadog Q1 2026 earnings release, Q1 2026 earnings-call transcript, Q1 2026 Form 10-Q, June 2026 investor-conference remarks, and market-price data through August 5, 2026.</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2026-08-06T00:03:43Z</dcterms:created>
  <dcterms:modified xsi:type="dcterms:W3CDTF">2026-08-06T00:03:43Z</dcterms:modified>
</cp:coreProperties>
</file>

<file path=docProps/custom.xml><?xml version="1.0" encoding="utf-8"?>
<Properties xmlns="http://schemas.openxmlformats.org/officeDocument/2006/custom-properties" xmlns:vt="http://schemas.openxmlformats.org/officeDocument/2006/docPropsVTypes"/>
</file>