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Datadog (DDOG)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Datadog, Inc.</w:t>
            </w:r>
          </w:p>
        </w:tc>
      </w:tr>
      <w:tr>
        <w:tc>
          <w:tcPr>
            <w:tcW w:type="dxa" w:w="4320"/>
          </w:tcPr>
          <w:p>
            <w:r>
              <w:rPr>
                <w:rFonts w:ascii="Calibri" w:hAnsi="Calibri"/>
                <w:b/>
                <w:sz w:val="22"/>
              </w:rPr>
              <w:t>Ticker</w:t>
            </w:r>
          </w:p>
        </w:tc>
        <w:tc>
          <w:tcPr>
            <w:tcW w:type="dxa" w:w="4320"/>
          </w:tcPr>
          <w:p>
            <w:r>
              <w:rPr>
                <w:rFonts w:ascii="Calibri" w:hAnsi="Calibri"/>
                <w:sz w:val="22"/>
              </w:rPr>
              <w:t>DDOG (Nasdaq)</w:t>
            </w:r>
          </w:p>
        </w:tc>
      </w:tr>
      <w:tr>
        <w:tc>
          <w:tcPr>
            <w:tcW w:type="dxa" w:w="4320"/>
          </w:tcPr>
          <w:p>
            <w:r>
              <w:rPr>
                <w:rFonts w:ascii="Calibri" w:hAnsi="Calibri"/>
                <w:b/>
                <w:sz w:val="22"/>
              </w:rPr>
              <w:t>Reporting Period</w:t>
            </w:r>
          </w:p>
        </w:tc>
        <w:tc>
          <w:tcPr>
            <w:tcW w:type="dxa" w:w="4320"/>
          </w:tcPr>
          <w:p>
            <w:r>
              <w:rPr>
                <w:rFonts w:ascii="Calibri" w:hAnsi="Calibri"/>
                <w:sz w:val="22"/>
              </w:rPr>
              <w:t>Q2 FY2026 (quarter ending June 30, 2026)</w:t>
            </w:r>
          </w:p>
        </w:tc>
      </w:tr>
      <w:tr>
        <w:tc>
          <w:tcPr>
            <w:tcW w:type="dxa" w:w="4320"/>
          </w:tcPr>
          <w:p>
            <w:r>
              <w:rPr>
                <w:rFonts w:ascii="Calibri" w:hAnsi="Calibri"/>
                <w:b/>
                <w:sz w:val="22"/>
              </w:rPr>
              <w:t>Upcoming Earnings Date</w:t>
            </w:r>
          </w:p>
        </w:tc>
        <w:tc>
          <w:tcPr>
            <w:tcW w:type="dxa" w:w="4320"/>
          </w:tcPr>
          <w:p>
            <w:r>
              <w:rPr>
                <w:rFonts w:ascii="Calibri" w:hAnsi="Calibri"/>
                <w:sz w:val="22"/>
              </w:rPr>
              <w:t>August 2026 (exact date per July 16, 2026 press release)</w:t>
            </w:r>
          </w:p>
        </w:tc>
      </w:tr>
      <w:tr>
        <w:tc>
          <w:tcPr>
            <w:tcW w:type="dxa" w:w="4320"/>
          </w:tcPr>
          <w:p>
            <w:r>
              <w:rPr>
                <w:rFonts w:ascii="Calibri" w:hAnsi="Calibri"/>
                <w:b/>
                <w:sz w:val="22"/>
              </w:rPr>
              <w:t>Last Earnings Date</w:t>
            </w:r>
          </w:p>
        </w:tc>
        <w:tc>
          <w:tcPr>
            <w:tcW w:type="dxa" w:w="4320"/>
          </w:tcPr>
          <w:p>
            <w:r>
              <w:rPr>
                <w:rFonts w:ascii="Calibri" w:hAnsi="Calibri"/>
                <w:sz w:val="22"/>
              </w:rPr>
              <w:t>May 7, 2026 (Q1 FY2026)</w:t>
            </w:r>
          </w:p>
        </w:tc>
      </w:tr>
      <w:tr>
        <w:tc>
          <w:tcPr>
            <w:tcW w:type="dxa" w:w="4320"/>
          </w:tcPr>
          <w:p>
            <w:r>
              <w:rPr>
                <w:rFonts w:ascii="Calibri" w:hAnsi="Calibri"/>
                <w:b/>
                <w:sz w:val="22"/>
              </w:rPr>
              <w:t>Prepared</w:t>
            </w:r>
          </w:p>
        </w:tc>
        <w:tc>
          <w:tcPr>
            <w:tcW w:type="dxa" w:w="4320"/>
          </w:tcPr>
          <w:p>
            <w:r>
              <w:rPr>
                <w:rFonts w:ascii="Calibri" w:hAnsi="Calibri"/>
                <w:sz w:val="22"/>
              </w:rPr>
              <w:t>August 5,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Setup skews to beat — consensus sits modestly above guidance midpoint on revenue but DDOG has beaten the high end of its own guidance in each of the last several quarters, and the Q1 print (first-ever $1B+ quarter, +32% YoY) reset expectations materially higher; the single biggest swing factor is whether AI-native customer spend — particularly the largest hyperscaler — continues to accelerate or shows any episodic lumpiness.</w:t>
      </w:r>
    </w:p>
    <w:p>
      <w:r>
        <w:rPr>
          <w:rFonts w:ascii="Calibri" w:hAnsi="Calibri"/>
          <w:color w:val="525866"/>
          <w:sz w:val="22"/>
        </w:rPr>
        <w:t xml:space="preserve">Heading into Q2 2026, the bar for Datadog is elevated but arguably still beatable given the company's consistent track record of exceeding both its own guidance and Street consensus. </w:t>
      </w:r>
      <w:r>
        <w:rPr>
          <w:rFonts w:ascii="Calibri" w:hAnsi="Calibri"/>
          <w:b/>
          <w:color w:val="525866"/>
          <w:sz w:val="22"/>
        </w:rPr>
        <w:t>Consensus revenue of ~$1.08B sits at the high end of the $1.07–$1.08B guidance range issued on the Q1 call</w:t>
      </w:r>
      <w:r>
        <w:rPr>
          <w:rFonts w:ascii="Calibri" w:hAnsi="Calibri"/>
          <w:color w:val="525866"/>
          <w:sz w:val="22"/>
        </w:rPr>
        <w:t xml:space="preserve">, implying ~30% YoY growth — a slight deceleration from Q1's 32% but still the second-fastest pace in several years. Management's tone at the June 3 BofA Technology Conference was constructively bullish, with CFO David Obstler reiterating that the acceleration observed over the prior 3–4 quarters continued into Q1 across AI-native, non-AI, enterprise, and SMB cohorts, with no explicit guidance revision since the May 7 print. </w:t>
      </w:r>
      <w:r>
        <w:rPr>
          <w:rFonts w:ascii="Calibri" w:hAnsi="Calibri"/>
          <w:b/>
          <w:color w:val="525866"/>
          <w:sz w:val="22"/>
        </w:rPr>
        <w:t>Estimate revisions have been stable-to-modestly-positive since the Q1 beat</w:t>
      </w:r>
      <w:r>
        <w:rPr>
          <w:rFonts w:ascii="Calibri" w:hAnsi="Calibri"/>
          <w:color w:val="525866"/>
          <w:sz w:val="22"/>
        </w:rPr>
        <w:t xml:space="preserve">, with FY2026 consensus revenue moving from ~$4.34B to ~$4.36B and EPS from ~$2.43 to ~$2.49 — tracking in line with the raised guidance rather than diverging, which limits both upside surprise from revision momentum and downside risk from over-optimism. The stock has surged ~50% since the Q1 print (vs. IGV +11.5%, SPY +5.2%), pricing in a meaningful re-rating on AI platform conviction, which raises the bar for a positive reaction on the print itself. </w:t>
      </w:r>
      <w:r>
        <w:rPr>
          <w:rFonts w:ascii="Calibri" w:hAnsi="Calibri"/>
          <w:b/>
          <w:color w:val="525866"/>
          <w:sz w:val="22"/>
        </w:rPr>
        <w:t>The key wildcard is the trajectory of the largest AI customer</w:t>
      </w:r>
      <w:r>
        <w:rPr>
          <w:rFonts w:ascii="Calibri" w:hAnsi="Calibri"/>
          <w:color w:val="525866"/>
          <w:sz w:val="22"/>
        </w:rPr>
        <w:t>: management applied heightened conservatism to this account in guidance, and any signal — positive or negative — on hyperscaler training workload spend (a new market DDOG entered in Q1 with two 7- and 8-figure deals) could be the decisive swing factor for the stock on results day.</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at the high end of guidance on revenue and at the midpoint on EPS, making this a moderately high bar; </w:t>
      </w:r>
      <w:r>
        <w:rPr>
          <w:rFonts w:ascii="Calibri" w:hAnsi="Calibri"/>
          <w:b/>
          <w:color w:val="525866"/>
          <w:sz w:val="22"/>
        </w:rPr>
        <w:t>revenue growth trajectory and $100K+ customer net adds are the bigger swing factors</w:t>
      </w:r>
      <w:r>
        <w:rPr>
          <w:rFonts w:ascii="Calibri" w:hAnsi="Calibri"/>
          <w:color w:val="525866"/>
          <w:sz w:val="22"/>
        </w:rPr>
        <w:t xml:space="preserve"> — both have consistently surprised to the upside over the last 8 quarters.</w:t>
      </w:r>
    </w:p>
    <w:p>
      <w:pPr>
        <w:pStyle w:val="Heading2"/>
      </w:pPr>
      <w:r>
        <w:rPr>
          <w:rFonts w:ascii="Calibri" w:hAnsi="Calibri"/>
          <w:b/>
          <w:color w:val="3B4259"/>
          <w:sz w:val="28"/>
        </w:rPr>
        <w:t>Table 1 — Q2 FY2026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FY2026 Actual</w:t>
            </w:r>
          </w:p>
        </w:tc>
        <w:tc>
          <w:tcPr>
            <w:tcW w:type="dxa" w:w="1234"/>
            <w:shd w:val="clear" w:color="auto" w:fill="3B4259"/>
          </w:tcPr>
          <w:p>
            <w:r>
              <w:rPr>
                <w:rFonts w:ascii="Calibri" w:hAnsi="Calibri"/>
                <w:b/>
                <w:color w:val="FFFFFF"/>
                <w:sz w:val="22"/>
              </w:rPr>
              <w:t>Q2 FY2025 Actual (Prior Year)</w:t>
            </w:r>
          </w:p>
        </w:tc>
        <w:tc>
          <w:tcPr>
            <w:tcW w:type="dxa" w:w="1234"/>
            <w:shd w:val="clear" w:color="auto" w:fill="3B4259"/>
          </w:tcPr>
          <w:p>
            <w:r>
              <w:rPr>
                <w:rFonts w:ascii="Calibri" w:hAnsi="Calibri"/>
                <w:b/>
                <w:color w:val="FFFFFF"/>
                <w:sz w:val="22"/>
              </w:rPr>
              <w:t>Q2 FY2026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FY2026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($M)</w:t>
            </w:r>
          </w:p>
        </w:tc>
        <w:tc>
          <w:tcPr>
            <w:tcW w:type="dxa" w:w="1234"/>
          </w:tcPr>
          <w:p>
            <w:r>
              <w:rPr>
                <w:rFonts w:ascii="Calibri" w:hAnsi="Calibri"/>
                <w:sz w:val="22"/>
              </w:rPr>
              <w:t>$1,006.4</w:t>
            </w:r>
          </w:p>
        </w:tc>
        <w:tc>
          <w:tcPr>
            <w:tcW w:type="dxa" w:w="1234"/>
          </w:tcPr>
          <w:p>
            <w:r>
              <w:rPr>
                <w:rFonts w:ascii="Calibri" w:hAnsi="Calibri"/>
                <w:sz w:val="22"/>
              </w:rPr>
              <w:t>$826.8</w:t>
            </w:r>
          </w:p>
        </w:tc>
        <w:tc>
          <w:tcPr>
            <w:tcW w:type="dxa" w:w="1234"/>
          </w:tcPr>
          <w:p>
            <w:r>
              <w:rPr>
                <w:rFonts w:ascii="Calibri" w:hAnsi="Calibri"/>
                <w:sz w:val="22"/>
              </w:rPr>
              <w:t>$1,079.7</w:t>
            </w:r>
          </w:p>
        </w:tc>
        <w:tc>
          <w:tcPr>
            <w:tcW w:type="dxa" w:w="1234"/>
          </w:tcPr>
          <w:p>
            <w:r>
              <w:rPr>
                <w:rFonts w:ascii="Calibri" w:hAnsi="Calibri"/>
                <w:sz w:val="22"/>
              </w:rPr>
              <w:t>+30.6%</w:t>
            </w:r>
          </w:p>
        </w:tc>
        <w:tc>
          <w:tcPr>
            <w:tcW w:type="dxa" w:w="1234"/>
          </w:tcPr>
          <w:p>
            <w:r>
              <w:rPr>
                <w:rFonts w:ascii="Calibri" w:hAnsi="Calibri"/>
                <w:sz w:val="22"/>
              </w:rPr>
              <w:t>$1,070–$1,080</w:t>
            </w:r>
          </w:p>
        </w:tc>
        <w:tc>
          <w:tcPr>
            <w:tcW w:type="dxa" w:w="1234"/>
          </w:tcPr>
          <w:p>
            <w:r>
              <w:rPr>
                <w:rFonts w:ascii="Calibri" w:hAnsi="Calibri"/>
                <w:sz w:val="22"/>
              </w:rPr>
              <w:t>+0.0% (at high end)</w:t>
            </w:r>
          </w:p>
        </w:tc>
      </w:tr>
      <w:tr>
        <w:tc>
          <w:tcPr>
            <w:tcW w:type="dxa" w:w="1234"/>
          </w:tcPr>
          <w:p>
            <w:r>
              <w:rPr>
                <w:rFonts w:ascii="Calibri" w:hAnsi="Calibri"/>
                <w:sz w:val="22"/>
              </w:rPr>
              <w:t>Non-GAAP Operating Income ($M)</w:t>
            </w:r>
          </w:p>
        </w:tc>
        <w:tc>
          <w:tcPr>
            <w:tcW w:type="dxa" w:w="1234"/>
          </w:tcPr>
          <w:p>
            <w:r>
              <w:rPr>
                <w:rFonts w:ascii="Calibri" w:hAnsi="Calibri"/>
                <w:sz w:val="22"/>
              </w:rPr>
              <w:t>$223.5</w:t>
            </w:r>
          </w:p>
        </w:tc>
        <w:tc>
          <w:tcPr>
            <w:tcW w:type="dxa" w:w="1234"/>
          </w:tcPr>
          <w:p>
            <w:r>
              <w:rPr>
                <w:rFonts w:ascii="Calibri" w:hAnsi="Calibri"/>
                <w:sz w:val="22"/>
              </w:rPr>
              <w:t>$164.1</w:t>
            </w:r>
          </w:p>
        </w:tc>
        <w:tc>
          <w:tcPr>
            <w:tcW w:type="dxa" w:w="1234"/>
          </w:tcPr>
          <w:p>
            <w:r>
              <w:rPr>
                <w:rFonts w:ascii="Calibri" w:hAnsi="Calibri"/>
                <w:sz w:val="22"/>
              </w:rPr>
              <w:t>$234.3</w:t>
            </w:r>
          </w:p>
        </w:tc>
        <w:tc>
          <w:tcPr>
            <w:tcW w:type="dxa" w:w="1234"/>
          </w:tcPr>
          <w:p>
            <w:r>
              <w:rPr>
                <w:rFonts w:ascii="Calibri" w:hAnsi="Calibri"/>
                <w:sz w:val="22"/>
              </w:rPr>
              <w:t>+42.8%</w:t>
            </w:r>
          </w:p>
        </w:tc>
        <w:tc>
          <w:tcPr>
            <w:tcW w:type="dxa" w:w="1234"/>
          </w:tcPr>
          <w:p>
            <w:r>
              <w:rPr>
                <w:rFonts w:ascii="Calibri" w:hAnsi="Calibri"/>
                <w:sz w:val="22"/>
              </w:rPr>
              <w:t>$225–$235</w:t>
            </w:r>
          </w:p>
        </w:tc>
        <w:tc>
          <w:tcPr>
            <w:tcW w:type="dxa" w:w="1234"/>
          </w:tcPr>
          <w:p>
            <w:r>
              <w:rPr>
                <w:rFonts w:ascii="Calibri" w:hAnsi="Calibri"/>
                <w:sz w:val="22"/>
              </w:rPr>
              <w:t>+0.1% (at midpoint)</w:t>
            </w:r>
          </w:p>
        </w:tc>
      </w:tr>
      <w:tr>
        <w:tc>
          <w:tcPr>
            <w:tcW w:type="dxa" w:w="1234"/>
          </w:tcPr>
          <w:p>
            <w:r>
              <w:rPr>
                <w:rFonts w:ascii="Calibri" w:hAnsi="Calibri"/>
                <w:sz w:val="22"/>
              </w:rPr>
              <w:t>Non-GAAP Diluted EPS ($)</w:t>
            </w:r>
          </w:p>
        </w:tc>
        <w:tc>
          <w:tcPr>
            <w:tcW w:type="dxa" w:w="1234"/>
          </w:tcPr>
          <w:p>
            <w:r>
              <w:rPr>
                <w:rFonts w:ascii="Calibri" w:hAnsi="Calibri"/>
                <w:sz w:val="22"/>
              </w:rPr>
              <w:t>$0.60</w:t>
            </w:r>
          </w:p>
        </w:tc>
        <w:tc>
          <w:tcPr>
            <w:tcW w:type="dxa" w:w="1234"/>
          </w:tcPr>
          <w:p>
            <w:r>
              <w:rPr>
                <w:rFonts w:ascii="Calibri" w:hAnsi="Calibri"/>
                <w:sz w:val="22"/>
              </w:rPr>
              <w:t>$0.46</w:t>
            </w:r>
          </w:p>
        </w:tc>
        <w:tc>
          <w:tcPr>
            <w:tcW w:type="dxa" w:w="1234"/>
          </w:tcPr>
          <w:p>
            <w:r>
              <w:rPr>
                <w:rFonts w:ascii="Calibri" w:hAnsi="Calibri"/>
                <w:sz w:val="22"/>
              </w:rPr>
              <w:t>$0.59</w:t>
            </w:r>
          </w:p>
        </w:tc>
        <w:tc>
          <w:tcPr>
            <w:tcW w:type="dxa" w:w="1234"/>
          </w:tcPr>
          <w:p>
            <w:r>
              <w:rPr>
                <w:rFonts w:ascii="Calibri" w:hAnsi="Calibri"/>
                <w:sz w:val="22"/>
              </w:rPr>
              <w:t>+28.3%</w:t>
            </w:r>
          </w:p>
        </w:tc>
        <w:tc>
          <w:tcPr>
            <w:tcW w:type="dxa" w:w="1234"/>
          </w:tcPr>
          <w:p>
            <w:r>
              <w:rPr>
                <w:rFonts w:ascii="Calibri" w:hAnsi="Calibri"/>
                <w:sz w:val="22"/>
              </w:rPr>
              <w:t>$0.57–$0.59</w:t>
            </w:r>
          </w:p>
        </w:tc>
        <w:tc>
          <w:tcPr>
            <w:tcW w:type="dxa" w:w="1234"/>
          </w:tcPr>
          <w:p>
            <w:r>
              <w:rPr>
                <w:rFonts w:ascii="Calibri" w:hAnsi="Calibri"/>
                <w:sz w:val="22"/>
              </w:rPr>
              <w:t>+0.0% (at high end)</w:t>
            </w:r>
          </w:p>
        </w:tc>
      </w:tr>
      <w:tr>
        <w:tc>
          <w:tcPr>
            <w:tcW w:type="dxa" w:w="1234"/>
          </w:tcPr>
          <w:p>
            <w:r>
              <w:rPr>
                <w:rFonts w:ascii="Calibri" w:hAnsi="Calibri"/>
                <w:sz w:val="22"/>
              </w:rPr>
              <w:t>Customers with $100K+ ARR (#)</w:t>
            </w:r>
          </w:p>
        </w:tc>
        <w:tc>
          <w:tcPr>
            <w:tcW w:type="dxa" w:w="1234"/>
          </w:tcPr>
          <w:p>
            <w:r>
              <w:rPr>
                <w:rFonts w:ascii="Calibri" w:hAnsi="Calibri"/>
                <w:sz w:val="22"/>
              </w:rPr>
              <w:t>4,550</w:t>
            </w:r>
          </w:p>
        </w:tc>
        <w:tc>
          <w:tcPr>
            <w:tcW w:type="dxa" w:w="1234"/>
          </w:tcPr>
          <w:p>
            <w:r>
              <w:rPr>
                <w:rFonts w:ascii="Calibri" w:hAnsi="Calibri"/>
                <w:sz w:val="22"/>
              </w:rPr>
              <w:t>3,850</w:t>
            </w:r>
          </w:p>
        </w:tc>
        <w:tc>
          <w:tcPr>
            <w:tcW w:type="dxa" w:w="1234"/>
          </w:tcPr>
          <w:p>
            <w:r>
              <w:rPr>
                <w:rFonts w:ascii="Calibri" w:hAnsi="Calibri"/>
                <w:sz w:val="22"/>
              </w:rPr>
              <w:t>4,584</w:t>
            </w:r>
          </w:p>
        </w:tc>
        <w:tc>
          <w:tcPr>
            <w:tcW w:type="dxa" w:w="1234"/>
          </w:tcPr>
          <w:p>
            <w:r>
              <w:rPr>
                <w:rFonts w:ascii="Calibri" w:hAnsi="Calibri"/>
                <w:sz w:val="22"/>
              </w:rPr>
              <w:t>+19.1%</w:t>
            </w:r>
          </w:p>
        </w:tc>
        <w:tc>
          <w:tcPr>
            <w:tcW w:type="dxa" w:w="1234"/>
          </w:tcPr>
          <w:p>
            <w:r>
              <w:rPr>
                <w:rFonts w:ascii="Calibri" w:hAnsi="Calibri"/>
                <w:sz w:val="22"/>
              </w:rPr>
              <w:t>N/A — not guided</w:t>
            </w:r>
          </w:p>
        </w:tc>
        <w:tc>
          <w:tcPr>
            <w:tcW w:type="dxa" w:w="1234"/>
          </w:tcPr>
          <w:p>
            <w:r>
              <w:rPr>
                <w:rFonts w:ascii="Calibri" w:hAnsi="Calibri"/>
                <w:sz w:val="22"/>
              </w:rPr>
              <w:t>N/A</w:t>
            </w:r>
          </w:p>
        </w:tc>
      </w:tr>
      <w:tr>
        <w:tc>
          <w:tcPr>
            <w:tcW w:type="dxa" w:w="1234"/>
          </w:tcPr>
          <w:p>
            <w:r>
              <w:rPr>
                <w:rFonts w:ascii="Calibri" w:hAnsi="Calibri"/>
                <w:sz w:val="22"/>
              </w:rPr>
              <w:t>Dollar-Based Net Retention Rate (%)</w:t>
            </w:r>
          </w:p>
        </w:tc>
        <w:tc>
          <w:tcPr>
            <w:tcW w:type="dxa" w:w="1234"/>
          </w:tcPr>
          <w:p>
            <w:r>
              <w:rPr>
                <w:rFonts w:ascii="Calibri" w:hAnsi="Calibri"/>
                <w:sz w:val="22"/>
              </w:rPr>
              <w:t>~121–122% (low 120s)</w:t>
            </w:r>
          </w:p>
        </w:tc>
        <w:tc>
          <w:tcPr>
            <w:tcW w:type="dxa" w:w="1234"/>
          </w:tcPr>
          <w:p>
            <w:r>
              <w:rPr>
                <w:rFonts w:ascii="Calibri" w:hAnsi="Calibri"/>
                <w:sz w:val="22"/>
              </w:rPr>
              <w:t>~120%</w:t>
            </w:r>
          </w:p>
        </w:tc>
        <w:tc>
          <w:tcPr>
            <w:tcW w:type="dxa" w:w="1234"/>
          </w:tcPr>
          <w:p>
            <w:r>
              <w:rPr>
                <w:rFonts w:ascii="Calibri" w:hAnsi="Calibri"/>
                <w:sz w:val="22"/>
              </w:rPr>
              <w:t>~122%</w:t>
            </w:r>
          </w:p>
        </w:tc>
        <w:tc>
          <w:tcPr>
            <w:tcW w:type="dxa" w:w="1234"/>
          </w:tcPr>
          <w:p>
            <w:r>
              <w:rPr>
                <w:rFonts w:ascii="Calibri" w:hAnsi="Calibri"/>
                <w:sz w:val="22"/>
              </w:rPr>
              <w:t>+~200 bps</w:t>
            </w:r>
          </w:p>
        </w:tc>
        <w:tc>
          <w:tcPr>
            <w:tcW w:type="dxa" w:w="1234"/>
          </w:tcPr>
          <w:p>
            <w:r>
              <w:rPr>
                <w:rFonts w:ascii="Calibri" w:hAnsi="Calibri"/>
                <w:sz w:val="22"/>
              </w:rPr>
              <w:t>N/A — not guided</w:t>
            </w:r>
          </w:p>
        </w:tc>
        <w:tc>
          <w:tcPr>
            <w:tcW w:type="dxa" w:w="1234"/>
          </w:tcPr>
          <w:p>
            <w:r>
              <w:rPr>
                <w:rFonts w:ascii="Calibri" w:hAnsi="Calibri"/>
                <w:sz w:val="22"/>
              </w:rPr>
              <w:t>N/A</w:t>
            </w:r>
          </w:p>
        </w:tc>
      </w:tr>
      <w:tr>
        <w:tc>
          <w:tcPr>
            <w:tcW w:type="dxa" w:w="1234"/>
          </w:tcPr>
          <w:p>
            <w:r>
              <w:rPr>
                <w:rFonts w:ascii="Calibri" w:hAnsi="Calibri"/>
                <w:sz w:val="22"/>
              </w:rPr>
              <w:t>Total Customers (#)</w:t>
            </w:r>
          </w:p>
        </w:tc>
        <w:tc>
          <w:tcPr>
            <w:tcW w:type="dxa" w:w="1234"/>
          </w:tcPr>
          <w:p>
            <w:r>
              <w:rPr>
                <w:rFonts w:ascii="Calibri" w:hAnsi="Calibri"/>
                <w:sz w:val="22"/>
              </w:rPr>
              <w:t>~33,200</w:t>
            </w:r>
          </w:p>
        </w:tc>
        <w:tc>
          <w:tcPr>
            <w:tcW w:type="dxa" w:w="1234"/>
          </w:tcPr>
          <w:p>
            <w:r>
              <w:rPr>
                <w:rFonts w:ascii="Calibri" w:hAnsi="Calibri"/>
                <w:sz w:val="22"/>
              </w:rPr>
              <w:t>~31,400</w:t>
            </w:r>
          </w:p>
        </w:tc>
        <w:tc>
          <w:tcPr>
            <w:tcW w:type="dxa" w:w="1234"/>
          </w:tcPr>
          <w:p>
            <w:r>
              <w:rPr>
                <w:rFonts w:ascii="Calibri" w:hAnsi="Calibri"/>
                <w:sz w:val="22"/>
              </w:rPr>
              <w:t>~33,927</w:t>
            </w:r>
          </w:p>
        </w:tc>
        <w:tc>
          <w:tcPr>
            <w:tcW w:type="dxa" w:w="1234"/>
          </w:tcPr>
          <w:p>
            <w:r>
              <w:rPr>
                <w:rFonts w:ascii="Calibri" w:hAnsi="Calibri"/>
                <w:sz w:val="22"/>
              </w:rPr>
              <w:t>+8.0%</w:t>
            </w:r>
          </w:p>
        </w:tc>
        <w:tc>
          <w:tcPr>
            <w:tcW w:type="dxa" w:w="1234"/>
          </w:tcPr>
          <w:p>
            <w:r>
              <w:rPr>
                <w:rFonts w:ascii="Calibri" w:hAnsi="Calibri"/>
                <w:sz w:val="22"/>
              </w:rPr>
              <w:t>N/A — not guided</w:t>
            </w:r>
          </w:p>
        </w:tc>
        <w:tc>
          <w:tcPr>
            <w:tcW w:type="dxa" w:w="1234"/>
          </w:tcPr>
          <w:p>
            <w:r>
              <w:rPr>
                <w:rFonts w:ascii="Calibri" w:hAnsi="Calibri"/>
                <w:sz w:val="22"/>
              </w:rPr>
              <w:t>N/A</w:t>
            </w:r>
          </w:p>
        </w:tc>
      </w:tr>
      <w:tr>
        <w:tc>
          <w:tcPr>
            <w:tcW w:type="dxa" w:w="1234"/>
          </w:tcPr>
          <w:p>
            <w:r>
              <w:rPr>
                <w:rFonts w:ascii="Calibri" w:hAnsi="Calibri"/>
                <w:sz w:val="22"/>
              </w:rPr>
              <w:t>Billings ($M)</w:t>
            </w:r>
          </w:p>
        </w:tc>
        <w:tc>
          <w:tcPr>
            <w:tcW w:type="dxa" w:w="1234"/>
          </w:tcPr>
          <w:p>
            <w:r>
              <w:rPr>
                <w:rFonts w:ascii="Calibri" w:hAnsi="Calibri"/>
                <w:sz w:val="22"/>
              </w:rPr>
              <w:t>$1,026.1</w:t>
            </w:r>
          </w:p>
        </w:tc>
        <w:tc>
          <w:tcPr>
            <w:tcW w:type="dxa" w:w="1234"/>
          </w:tcPr>
          <w:p>
            <w:r>
              <w:rPr>
                <w:rFonts w:ascii="Calibri" w:hAnsi="Calibri"/>
                <w:sz w:val="22"/>
              </w:rPr>
              <w:t>$852.4</w:t>
            </w:r>
          </w:p>
        </w:tc>
        <w:tc>
          <w:tcPr>
            <w:tcW w:type="dxa" w:w="1234"/>
          </w:tcPr>
          <w:p>
            <w:r>
              <w:rPr>
                <w:rFonts w:ascii="Calibri" w:hAnsi="Calibri"/>
                <w:sz w:val="22"/>
              </w:rPr>
              <w:t>$1,110.7</w:t>
            </w:r>
          </w:p>
        </w:tc>
        <w:tc>
          <w:tcPr>
            <w:tcW w:type="dxa" w:w="1234"/>
          </w:tcPr>
          <w:p>
            <w:r>
              <w:rPr>
                <w:rFonts w:ascii="Calibri" w:hAnsi="Calibri"/>
                <w:sz w:val="22"/>
              </w:rPr>
              <w:t>+30.3%</w:t>
            </w:r>
          </w:p>
        </w:tc>
        <w:tc>
          <w:tcPr>
            <w:tcW w:type="dxa" w:w="1234"/>
          </w:tcPr>
          <w:p>
            <w:r>
              <w:rPr>
                <w:rFonts w:ascii="Calibri" w:hAnsi="Calibri"/>
                <w:sz w:val="22"/>
              </w:rPr>
              <w:t>N/A — not guided</w:t>
            </w:r>
          </w:p>
        </w:tc>
        <w:tc>
          <w:tcPr>
            <w:tcW w:type="dxa" w:w="1234"/>
          </w:tcPr>
          <w:p>
            <w:r>
              <w:rPr>
                <w:rFonts w:ascii="Calibri" w:hAnsi="Calibri"/>
                <w:sz w:val="22"/>
              </w:rPr>
              <w:t>N/A</w:t>
            </w:r>
          </w:p>
        </w:tc>
      </w:tr>
      <w:tr>
        <w:tc>
          <w:tcPr>
            <w:tcW w:type="dxa" w:w="1234"/>
          </w:tcPr>
          <w:p>
            <w:r>
              <w:rPr>
                <w:rFonts w:ascii="Calibri" w:hAnsi="Calibri"/>
                <w:sz w:val="22"/>
              </w:rPr>
              <w:t>Non-GAAP Gross Profit ($M)</w:t>
            </w:r>
          </w:p>
        </w:tc>
        <w:tc>
          <w:tcPr>
            <w:tcW w:type="dxa" w:w="1234"/>
          </w:tcPr>
          <w:p>
            <w:r>
              <w:rPr>
                <w:rFonts w:ascii="Calibri" w:hAnsi="Calibri"/>
                <w:sz w:val="22"/>
              </w:rPr>
              <w:t>$807.2</w:t>
            </w:r>
          </w:p>
        </w:tc>
        <w:tc>
          <w:tcPr>
            <w:tcW w:type="dxa" w:w="1234"/>
          </w:tcPr>
          <w:p>
            <w:r>
              <w:rPr>
                <w:rFonts w:ascii="Calibri" w:hAnsi="Calibri"/>
                <w:sz w:val="22"/>
              </w:rPr>
              <w:t>$669.2</w:t>
            </w:r>
          </w:p>
        </w:tc>
        <w:tc>
          <w:tcPr>
            <w:tcW w:type="dxa" w:w="1234"/>
          </w:tcPr>
          <w:p>
            <w:r>
              <w:rPr>
                <w:rFonts w:ascii="Calibri" w:hAnsi="Calibri"/>
                <w:sz w:val="22"/>
              </w:rPr>
              <w:t>$871.6</w:t>
            </w:r>
          </w:p>
        </w:tc>
        <w:tc>
          <w:tcPr>
            <w:tcW w:type="dxa" w:w="1234"/>
          </w:tcPr>
          <w:p>
            <w:r>
              <w:rPr>
                <w:rFonts w:ascii="Calibri" w:hAnsi="Calibri"/>
                <w:sz w:val="22"/>
              </w:rPr>
              <w:t>+30.2%</w:t>
            </w:r>
          </w:p>
        </w:tc>
        <w:tc>
          <w:tcPr>
            <w:tcW w:type="dxa" w:w="1234"/>
          </w:tcPr>
          <w:p>
            <w:r>
              <w:rPr>
                <w:rFonts w:ascii="Calibri" w:hAnsi="Calibri"/>
                <w:sz w:val="22"/>
              </w:rPr>
              <w:t>N/A — not guided</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$289.1</w:t>
            </w:r>
          </w:p>
        </w:tc>
        <w:tc>
          <w:tcPr>
            <w:tcW w:type="dxa" w:w="1234"/>
          </w:tcPr>
          <w:p>
            <w:r>
              <w:rPr>
                <w:rFonts w:ascii="Calibri" w:hAnsi="Calibri"/>
                <w:sz w:val="22"/>
              </w:rPr>
              <w:t>$165.4</w:t>
            </w:r>
          </w:p>
        </w:tc>
        <w:tc>
          <w:tcPr>
            <w:tcW w:type="dxa" w:w="1234"/>
          </w:tcPr>
          <w:p>
            <w:r>
              <w:rPr>
                <w:rFonts w:ascii="Calibri" w:hAnsi="Calibri"/>
                <w:sz w:val="22"/>
              </w:rPr>
              <w:t>$221.6</w:t>
            </w:r>
          </w:p>
        </w:tc>
        <w:tc>
          <w:tcPr>
            <w:tcW w:type="dxa" w:w="1234"/>
          </w:tcPr>
          <w:p>
            <w:r>
              <w:rPr>
                <w:rFonts w:ascii="Calibri" w:hAnsi="Calibri"/>
                <w:sz w:val="22"/>
              </w:rPr>
              <w:t>+34.0%</w:t>
            </w:r>
          </w:p>
        </w:tc>
        <w:tc>
          <w:tcPr>
            <w:tcW w:type="dxa" w:w="1234"/>
          </w:tcPr>
          <w:p>
            <w:r>
              <w:rPr>
                <w:rFonts w:ascii="Calibri" w:hAnsi="Calibri"/>
                <w:sz w:val="22"/>
              </w:rPr>
              <w:t>N/A — not guided</w:t>
            </w:r>
          </w:p>
        </w:tc>
        <w:tc>
          <w:tcPr>
            <w:tcW w:type="dxa" w:w="1234"/>
          </w:tcPr>
          <w:p>
            <w:r>
              <w:rPr>
                <w:rFonts w:ascii="Calibri" w:hAnsi="Calibri"/>
                <w:sz w:val="22"/>
              </w:rPr>
              <w:t>N/A</w:t>
            </w:r>
          </w:p>
        </w:tc>
      </w:tr>
    </w:tbl>
    <w:p>
      <w:r>
        <w:rPr>
          <w:rFonts w:ascii="Calibri" w:hAnsi="Calibri"/>
          <w:i/>
          <w:color w:val="525866"/>
          <w:sz w:val="22"/>
        </w:rPr>
        <w:t>Source: Visible Alpha consensus and actuals data. Q2 FY2026 guidance from Q1 FY2026 earnings call (May 7, 2026). Note: DDOG's fiscal year aligns with the calendar year; Q2 FY2026 = April–June 2026. FCF consensus is seasonally lower in Q2 (DASH conference costs ~$15M reflected in opex guidance). NRR reported as trailing 12-month figure.</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FY2026</w:t>
            </w:r>
          </w:p>
        </w:tc>
        <w:tc>
          <w:tcPr>
            <w:tcW w:type="dxa" w:w="1728"/>
          </w:tcPr>
          <w:p>
            <w:r>
              <w:rPr>
                <w:rFonts w:ascii="Calibri" w:hAnsi="Calibri"/>
                <w:sz w:val="22"/>
              </w:rPr>
              <w:t>$1,006.4</w:t>
            </w:r>
          </w:p>
        </w:tc>
        <w:tc>
          <w:tcPr>
            <w:tcW w:type="dxa" w:w="1728"/>
          </w:tcPr>
          <w:p>
            <w:r>
              <w:rPr>
                <w:rFonts w:ascii="Calibri" w:hAnsi="Calibri"/>
                <w:sz w:val="22"/>
              </w:rPr>
              <w:t>$959.9</w:t>
            </w:r>
          </w:p>
        </w:tc>
        <w:tc>
          <w:tcPr>
            <w:tcW w:type="dxa" w:w="1728"/>
          </w:tcPr>
          <w:p>
            <w:r>
              <w:rPr>
                <w:rFonts w:ascii="Calibri" w:hAnsi="Calibri"/>
                <w:b/>
                <w:color w:val="30A46C"/>
                <w:sz w:val="22"/>
              </w:rPr>
              <w:t>+4.8%</w:t>
            </w:r>
          </w:p>
        </w:tc>
        <w:tc>
          <w:tcPr>
            <w:tcW w:type="dxa" w:w="1728"/>
          </w:tcPr>
          <w:p>
            <w:r>
              <w:rPr>
                <w:rFonts w:ascii="Calibri" w:hAnsi="Calibri"/>
                <w:sz w:val="22"/>
              </w:rPr>
              <w:t>Beat</w:t>
            </w:r>
          </w:p>
        </w:tc>
      </w:tr>
      <w:tr>
        <w:tc>
          <w:tcPr>
            <w:tcW w:type="dxa" w:w="1728"/>
          </w:tcPr>
          <w:p>
            <w:r>
              <w:rPr>
                <w:rFonts w:ascii="Calibri" w:hAnsi="Calibri"/>
                <w:sz w:val="22"/>
              </w:rPr>
              <w:t>Q4 FY2025</w:t>
            </w:r>
          </w:p>
        </w:tc>
        <w:tc>
          <w:tcPr>
            <w:tcW w:type="dxa" w:w="1728"/>
          </w:tcPr>
          <w:p>
            <w:r>
              <w:rPr>
                <w:rFonts w:ascii="Calibri" w:hAnsi="Calibri"/>
                <w:sz w:val="22"/>
              </w:rPr>
              <w:t>$953.2</w:t>
            </w:r>
          </w:p>
        </w:tc>
        <w:tc>
          <w:tcPr>
            <w:tcW w:type="dxa" w:w="1728"/>
          </w:tcPr>
          <w:p>
            <w:r>
              <w:rPr>
                <w:rFonts w:ascii="Calibri" w:hAnsi="Calibri"/>
                <w:sz w:val="22"/>
              </w:rPr>
              <w:t>$918.2</w:t>
            </w:r>
          </w:p>
        </w:tc>
        <w:tc>
          <w:tcPr>
            <w:tcW w:type="dxa" w:w="1728"/>
          </w:tcPr>
          <w:p>
            <w:r>
              <w:rPr>
                <w:rFonts w:ascii="Calibri" w:hAnsi="Calibri"/>
                <w:b/>
                <w:color w:val="30A46C"/>
                <w:sz w:val="22"/>
              </w:rPr>
              <w:t>+3.8%</w:t>
            </w:r>
          </w:p>
        </w:tc>
        <w:tc>
          <w:tcPr>
            <w:tcW w:type="dxa" w:w="1728"/>
          </w:tcPr>
          <w:p>
            <w:r>
              <w:rPr>
                <w:rFonts w:ascii="Calibri" w:hAnsi="Calibri"/>
                <w:sz w:val="22"/>
              </w:rPr>
              <w:t>Beat</w:t>
            </w:r>
          </w:p>
        </w:tc>
      </w:tr>
      <w:tr>
        <w:tc>
          <w:tcPr>
            <w:tcW w:type="dxa" w:w="1728"/>
          </w:tcPr>
          <w:p>
            <w:r>
              <w:rPr>
                <w:rFonts w:ascii="Calibri" w:hAnsi="Calibri"/>
                <w:sz w:val="22"/>
              </w:rPr>
              <w:t>Q3 FY2025</w:t>
            </w:r>
          </w:p>
        </w:tc>
        <w:tc>
          <w:tcPr>
            <w:tcW w:type="dxa" w:w="1728"/>
          </w:tcPr>
          <w:p>
            <w:r>
              <w:rPr>
                <w:rFonts w:ascii="Calibri" w:hAnsi="Calibri"/>
                <w:sz w:val="22"/>
              </w:rPr>
              <w:t>$885.7</w:t>
            </w:r>
          </w:p>
        </w:tc>
        <w:tc>
          <w:tcPr>
            <w:tcW w:type="dxa" w:w="1728"/>
          </w:tcPr>
          <w:p>
            <w:r>
              <w:rPr>
                <w:rFonts w:ascii="Calibri" w:hAnsi="Calibri"/>
                <w:sz w:val="22"/>
              </w:rPr>
              <w:t>$852.4</w:t>
            </w:r>
          </w:p>
        </w:tc>
        <w:tc>
          <w:tcPr>
            <w:tcW w:type="dxa" w:w="1728"/>
          </w:tcPr>
          <w:p>
            <w:r>
              <w:rPr>
                <w:rFonts w:ascii="Calibri" w:hAnsi="Calibri"/>
                <w:b/>
                <w:color w:val="30A46C"/>
                <w:sz w:val="22"/>
              </w:rPr>
              <w:t>+3.9%</w:t>
            </w:r>
          </w:p>
        </w:tc>
        <w:tc>
          <w:tcPr>
            <w:tcW w:type="dxa" w:w="1728"/>
          </w:tcPr>
          <w:p>
            <w:r>
              <w:rPr>
                <w:rFonts w:ascii="Calibri" w:hAnsi="Calibri"/>
                <w:sz w:val="22"/>
              </w:rPr>
              <w:t>Beat</w:t>
            </w:r>
          </w:p>
        </w:tc>
      </w:tr>
      <w:tr>
        <w:tc>
          <w:tcPr>
            <w:tcW w:type="dxa" w:w="1728"/>
          </w:tcPr>
          <w:p>
            <w:r>
              <w:rPr>
                <w:rFonts w:ascii="Calibri" w:hAnsi="Calibri"/>
                <w:sz w:val="22"/>
              </w:rPr>
              <w:t>Q2 FY2025</w:t>
            </w:r>
          </w:p>
        </w:tc>
        <w:tc>
          <w:tcPr>
            <w:tcW w:type="dxa" w:w="1728"/>
          </w:tcPr>
          <w:p>
            <w:r>
              <w:rPr>
                <w:rFonts w:ascii="Calibri" w:hAnsi="Calibri"/>
                <w:sz w:val="22"/>
              </w:rPr>
              <w:t>$826.8</w:t>
            </w:r>
          </w:p>
        </w:tc>
        <w:tc>
          <w:tcPr>
            <w:tcW w:type="dxa" w:w="1728"/>
          </w:tcPr>
          <w:p>
            <w:r>
              <w:rPr>
                <w:rFonts w:ascii="Calibri" w:hAnsi="Calibri"/>
                <w:sz w:val="22"/>
              </w:rPr>
              <w:t>$791.2</w:t>
            </w:r>
          </w:p>
        </w:tc>
        <w:tc>
          <w:tcPr>
            <w:tcW w:type="dxa" w:w="1728"/>
          </w:tcPr>
          <w:p>
            <w:r>
              <w:rPr>
                <w:rFonts w:ascii="Calibri" w:hAnsi="Calibri"/>
                <w:b/>
                <w:color w:val="30A46C"/>
                <w:sz w:val="22"/>
              </w:rPr>
              <w:t>+4.5%</w:t>
            </w:r>
          </w:p>
        </w:tc>
        <w:tc>
          <w:tcPr>
            <w:tcW w:type="dxa" w:w="1728"/>
          </w:tcPr>
          <w:p>
            <w:r>
              <w:rPr>
                <w:rFonts w:ascii="Calibri" w:hAnsi="Calibri"/>
                <w:sz w:val="22"/>
              </w:rPr>
              <w:t>Beat</w:t>
            </w:r>
          </w:p>
        </w:tc>
      </w:tr>
      <w:tr>
        <w:tc>
          <w:tcPr>
            <w:tcW w:type="dxa" w:w="1728"/>
          </w:tcPr>
          <w:p>
            <w:r>
              <w:rPr>
                <w:rFonts w:ascii="Calibri" w:hAnsi="Calibri"/>
                <w:sz w:val="22"/>
              </w:rPr>
              <w:t>Q1 FY2025</w:t>
            </w:r>
          </w:p>
        </w:tc>
        <w:tc>
          <w:tcPr>
            <w:tcW w:type="dxa" w:w="1728"/>
          </w:tcPr>
          <w:p>
            <w:r>
              <w:rPr>
                <w:rFonts w:ascii="Calibri" w:hAnsi="Calibri"/>
                <w:sz w:val="22"/>
              </w:rPr>
              <w:t>$761.6</w:t>
            </w:r>
          </w:p>
        </w:tc>
        <w:tc>
          <w:tcPr>
            <w:tcW w:type="dxa" w:w="1728"/>
          </w:tcPr>
          <w:p>
            <w:r>
              <w:rPr>
                <w:rFonts w:ascii="Calibri" w:hAnsi="Calibri"/>
                <w:sz w:val="22"/>
              </w:rPr>
              <w:t>$741.0</w:t>
            </w:r>
          </w:p>
        </w:tc>
        <w:tc>
          <w:tcPr>
            <w:tcW w:type="dxa" w:w="1728"/>
          </w:tcPr>
          <w:p>
            <w:r>
              <w:rPr>
                <w:rFonts w:ascii="Calibri" w:hAnsi="Calibri"/>
                <w:b/>
                <w:color w:val="30A46C"/>
                <w:sz w:val="22"/>
              </w:rPr>
              <w:t>+2.8%</w:t>
            </w:r>
          </w:p>
        </w:tc>
        <w:tc>
          <w:tcPr>
            <w:tcW w:type="dxa" w:w="1728"/>
          </w:tcPr>
          <w:p>
            <w:r>
              <w:rPr>
                <w:rFonts w:ascii="Calibri" w:hAnsi="Calibri"/>
                <w:sz w:val="22"/>
              </w:rPr>
              <w:t>Beat</w:t>
            </w:r>
          </w:p>
        </w:tc>
      </w:tr>
      <w:tr>
        <w:tc>
          <w:tcPr>
            <w:tcW w:type="dxa" w:w="1728"/>
          </w:tcPr>
          <w:p>
            <w:r>
              <w:rPr>
                <w:rFonts w:ascii="Calibri" w:hAnsi="Calibri"/>
                <w:sz w:val="22"/>
              </w:rPr>
              <w:t>Q4 FY2024</w:t>
            </w:r>
          </w:p>
        </w:tc>
        <w:tc>
          <w:tcPr>
            <w:tcW w:type="dxa" w:w="1728"/>
          </w:tcPr>
          <w:p>
            <w:r>
              <w:rPr>
                <w:rFonts w:ascii="Calibri" w:hAnsi="Calibri"/>
                <w:sz w:val="22"/>
              </w:rPr>
              <w:t>$737.7</w:t>
            </w:r>
          </w:p>
        </w:tc>
        <w:tc>
          <w:tcPr>
            <w:tcW w:type="dxa" w:w="1728"/>
          </w:tcPr>
          <w:p>
            <w:r>
              <w:rPr>
                <w:rFonts w:ascii="Calibri" w:hAnsi="Calibri"/>
                <w:sz w:val="22"/>
              </w:rPr>
              <w:t>$715.2</w:t>
            </w:r>
          </w:p>
        </w:tc>
        <w:tc>
          <w:tcPr>
            <w:tcW w:type="dxa" w:w="1728"/>
          </w:tcPr>
          <w:p>
            <w:r>
              <w:rPr>
                <w:rFonts w:ascii="Calibri" w:hAnsi="Calibri"/>
                <w:b/>
                <w:color w:val="30A46C"/>
                <w:sz w:val="22"/>
              </w:rPr>
              <w:t>+3.1%</w:t>
            </w:r>
          </w:p>
        </w:tc>
        <w:tc>
          <w:tcPr>
            <w:tcW w:type="dxa" w:w="1728"/>
          </w:tcPr>
          <w:p>
            <w:r>
              <w:rPr>
                <w:rFonts w:ascii="Calibri" w:hAnsi="Calibri"/>
                <w:sz w:val="22"/>
              </w:rPr>
              <w:t>Beat</w:t>
            </w:r>
          </w:p>
        </w:tc>
      </w:tr>
      <w:tr>
        <w:tc>
          <w:tcPr>
            <w:tcW w:type="dxa" w:w="1728"/>
          </w:tcPr>
          <w:p>
            <w:r>
              <w:rPr>
                <w:rFonts w:ascii="Calibri" w:hAnsi="Calibri"/>
                <w:sz w:val="22"/>
              </w:rPr>
              <w:t>Q3 FY2024</w:t>
            </w:r>
          </w:p>
        </w:tc>
        <w:tc>
          <w:tcPr>
            <w:tcW w:type="dxa" w:w="1728"/>
          </w:tcPr>
          <w:p>
            <w:r>
              <w:rPr>
                <w:rFonts w:ascii="Calibri" w:hAnsi="Calibri"/>
                <w:sz w:val="22"/>
              </w:rPr>
              <w:t>$690.0</w:t>
            </w:r>
          </w:p>
        </w:tc>
        <w:tc>
          <w:tcPr>
            <w:tcW w:type="dxa" w:w="1728"/>
          </w:tcPr>
          <w:p>
            <w:r>
              <w:rPr>
                <w:rFonts w:ascii="Calibri" w:hAnsi="Calibri"/>
                <w:sz w:val="22"/>
              </w:rPr>
              <w:t>$664.7</w:t>
            </w:r>
          </w:p>
        </w:tc>
        <w:tc>
          <w:tcPr>
            <w:tcW w:type="dxa" w:w="1728"/>
          </w:tcPr>
          <w:p>
            <w:r>
              <w:rPr>
                <w:rFonts w:ascii="Calibri" w:hAnsi="Calibri"/>
                <w:b/>
                <w:color w:val="30A46C"/>
                <w:sz w:val="22"/>
              </w:rPr>
              <w:t>+3.8%</w:t>
            </w:r>
          </w:p>
        </w:tc>
        <w:tc>
          <w:tcPr>
            <w:tcW w:type="dxa" w:w="1728"/>
          </w:tcPr>
          <w:p>
            <w:r>
              <w:rPr>
                <w:rFonts w:ascii="Calibri" w:hAnsi="Calibri"/>
                <w:sz w:val="22"/>
              </w:rPr>
              <w:t>Beat</w:t>
            </w:r>
          </w:p>
        </w:tc>
      </w:tr>
      <w:tr>
        <w:tc>
          <w:tcPr>
            <w:tcW w:type="dxa" w:w="1728"/>
          </w:tcPr>
          <w:p>
            <w:r>
              <w:rPr>
                <w:rFonts w:ascii="Calibri" w:hAnsi="Calibri"/>
                <w:sz w:val="22"/>
              </w:rPr>
              <w:t>Q2 FY2024</w:t>
            </w:r>
          </w:p>
        </w:tc>
        <w:tc>
          <w:tcPr>
            <w:tcW w:type="dxa" w:w="1728"/>
          </w:tcPr>
          <w:p>
            <w:r>
              <w:rPr>
                <w:rFonts w:ascii="Calibri" w:hAnsi="Calibri"/>
                <w:sz w:val="22"/>
              </w:rPr>
              <w:t>$645.3</w:t>
            </w:r>
          </w:p>
        </w:tc>
        <w:tc>
          <w:tcPr>
            <w:tcW w:type="dxa" w:w="1728"/>
          </w:tcPr>
          <w:p>
            <w:r>
              <w:rPr>
                <w:rFonts w:ascii="Calibri" w:hAnsi="Calibri"/>
                <w:sz w:val="22"/>
              </w:rPr>
              <w:t>$624.7</w:t>
            </w:r>
          </w:p>
        </w:tc>
        <w:tc>
          <w:tcPr>
            <w:tcW w:type="dxa" w:w="1728"/>
          </w:tcPr>
          <w:p>
            <w:r>
              <w:rPr>
                <w:rFonts w:ascii="Calibri" w:hAnsi="Calibri"/>
                <w:b/>
                <w:color w:val="30A46C"/>
                <w:sz w:val="22"/>
              </w:rPr>
              <w:t>+3.3%</w:t>
            </w:r>
          </w:p>
        </w:tc>
        <w:tc>
          <w:tcPr>
            <w:tcW w:type="dxa" w:w="1728"/>
          </w:tcPr>
          <w:p>
            <w:r>
              <w:rPr>
                <w:rFonts w:ascii="Calibri" w:hAnsi="Calibri"/>
                <w:sz w:val="22"/>
              </w:rPr>
              <w:t>Beat</w:t>
            </w:r>
          </w:p>
        </w:tc>
      </w:tr>
    </w:tbl>
    <w:p>
      <w:pPr>
        <w:pStyle w:val="Heading3"/>
      </w:pPr>
      <w:r>
        <w:rPr>
          <w:rFonts w:ascii="Calibri" w:hAnsi="Calibri"/>
          <w:b/>
          <w:color w:val="3B4259"/>
          <w:sz w:val="24"/>
        </w:rPr>
        <w:t>Non-GAAP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FY2026</w:t>
            </w:r>
          </w:p>
        </w:tc>
        <w:tc>
          <w:tcPr>
            <w:tcW w:type="dxa" w:w="1728"/>
          </w:tcPr>
          <w:p>
            <w:r>
              <w:rPr>
                <w:rFonts w:ascii="Calibri" w:hAnsi="Calibri"/>
                <w:sz w:val="22"/>
              </w:rPr>
              <w:t>$0.60</w:t>
            </w:r>
          </w:p>
        </w:tc>
        <w:tc>
          <w:tcPr>
            <w:tcW w:type="dxa" w:w="1728"/>
          </w:tcPr>
          <w:p>
            <w:r>
              <w:rPr>
                <w:rFonts w:ascii="Calibri" w:hAnsi="Calibri"/>
                <w:sz w:val="22"/>
              </w:rPr>
              <w:t>$0.51</w:t>
            </w:r>
          </w:p>
        </w:tc>
        <w:tc>
          <w:tcPr>
            <w:tcW w:type="dxa" w:w="1728"/>
          </w:tcPr>
          <w:p>
            <w:r>
              <w:rPr>
                <w:rFonts w:ascii="Calibri" w:hAnsi="Calibri"/>
                <w:b/>
                <w:color w:val="30A46C"/>
                <w:sz w:val="22"/>
              </w:rPr>
              <w:t>+17.1%</w:t>
            </w:r>
          </w:p>
        </w:tc>
        <w:tc>
          <w:tcPr>
            <w:tcW w:type="dxa" w:w="1728"/>
          </w:tcPr>
          <w:p>
            <w:r>
              <w:rPr>
                <w:rFonts w:ascii="Calibri" w:hAnsi="Calibri"/>
                <w:sz w:val="22"/>
              </w:rPr>
              <w:t>Beat</w:t>
            </w:r>
          </w:p>
        </w:tc>
      </w:tr>
      <w:tr>
        <w:tc>
          <w:tcPr>
            <w:tcW w:type="dxa" w:w="1728"/>
          </w:tcPr>
          <w:p>
            <w:r>
              <w:rPr>
                <w:rFonts w:ascii="Calibri" w:hAnsi="Calibri"/>
                <w:sz w:val="22"/>
              </w:rPr>
              <w:t>Q4 FY2025</w:t>
            </w:r>
          </w:p>
        </w:tc>
        <w:tc>
          <w:tcPr>
            <w:tcW w:type="dxa" w:w="1728"/>
          </w:tcPr>
          <w:p>
            <w:r>
              <w:rPr>
                <w:rFonts w:ascii="Calibri" w:hAnsi="Calibri"/>
                <w:sz w:val="22"/>
              </w:rPr>
              <w:t>$0.59</w:t>
            </w:r>
          </w:p>
        </w:tc>
        <w:tc>
          <w:tcPr>
            <w:tcW w:type="dxa" w:w="1728"/>
          </w:tcPr>
          <w:p>
            <w:r>
              <w:rPr>
                <w:rFonts w:ascii="Calibri" w:hAnsi="Calibri"/>
                <w:sz w:val="22"/>
              </w:rPr>
              <w:t>$0.56</w:t>
            </w:r>
          </w:p>
        </w:tc>
        <w:tc>
          <w:tcPr>
            <w:tcW w:type="dxa" w:w="1728"/>
          </w:tcPr>
          <w:p>
            <w:r>
              <w:rPr>
                <w:rFonts w:ascii="Calibri" w:hAnsi="Calibri"/>
                <w:b/>
                <w:color w:val="30A46C"/>
                <w:sz w:val="22"/>
              </w:rPr>
              <w:t>+5.4%</w:t>
            </w:r>
          </w:p>
        </w:tc>
        <w:tc>
          <w:tcPr>
            <w:tcW w:type="dxa" w:w="1728"/>
          </w:tcPr>
          <w:p>
            <w:r>
              <w:rPr>
                <w:rFonts w:ascii="Calibri" w:hAnsi="Calibri"/>
                <w:sz w:val="22"/>
              </w:rPr>
              <w:t>Beat</w:t>
            </w:r>
          </w:p>
        </w:tc>
      </w:tr>
      <w:tr>
        <w:tc>
          <w:tcPr>
            <w:tcW w:type="dxa" w:w="1728"/>
          </w:tcPr>
          <w:p>
            <w:r>
              <w:rPr>
                <w:rFonts w:ascii="Calibri" w:hAnsi="Calibri"/>
                <w:sz w:val="22"/>
              </w:rPr>
              <w:t>Q3 FY2025</w:t>
            </w:r>
          </w:p>
        </w:tc>
        <w:tc>
          <w:tcPr>
            <w:tcW w:type="dxa" w:w="1728"/>
          </w:tcPr>
          <w:p>
            <w:r>
              <w:rPr>
                <w:rFonts w:ascii="Calibri" w:hAnsi="Calibri"/>
                <w:sz w:val="22"/>
              </w:rPr>
              <w:t>$0.55</w:t>
            </w:r>
          </w:p>
        </w:tc>
        <w:tc>
          <w:tcPr>
            <w:tcW w:type="dxa" w:w="1728"/>
          </w:tcPr>
          <w:p>
            <w:r>
              <w:rPr>
                <w:rFonts w:ascii="Calibri" w:hAnsi="Calibri"/>
                <w:sz w:val="22"/>
              </w:rPr>
              <w:t>$0.46</w:t>
            </w:r>
          </w:p>
        </w:tc>
        <w:tc>
          <w:tcPr>
            <w:tcW w:type="dxa" w:w="1728"/>
          </w:tcPr>
          <w:p>
            <w:r>
              <w:rPr>
                <w:rFonts w:ascii="Calibri" w:hAnsi="Calibri"/>
                <w:b/>
                <w:color w:val="30A46C"/>
                <w:sz w:val="22"/>
              </w:rPr>
              <w:t>+19.6%</w:t>
            </w:r>
          </w:p>
        </w:tc>
        <w:tc>
          <w:tcPr>
            <w:tcW w:type="dxa" w:w="1728"/>
          </w:tcPr>
          <w:p>
            <w:r>
              <w:rPr>
                <w:rFonts w:ascii="Calibri" w:hAnsi="Calibri"/>
                <w:sz w:val="22"/>
              </w:rPr>
              <w:t>Beat</w:t>
            </w:r>
          </w:p>
        </w:tc>
      </w:tr>
      <w:tr>
        <w:tc>
          <w:tcPr>
            <w:tcW w:type="dxa" w:w="1728"/>
          </w:tcPr>
          <w:p>
            <w:r>
              <w:rPr>
                <w:rFonts w:ascii="Calibri" w:hAnsi="Calibri"/>
                <w:sz w:val="22"/>
              </w:rPr>
              <w:t>Q2 FY2025</w:t>
            </w:r>
          </w:p>
        </w:tc>
        <w:tc>
          <w:tcPr>
            <w:tcW w:type="dxa" w:w="1728"/>
          </w:tcPr>
          <w:p>
            <w:r>
              <w:rPr>
                <w:rFonts w:ascii="Calibri" w:hAnsi="Calibri"/>
                <w:sz w:val="22"/>
              </w:rPr>
              <w:t>$0.46</w:t>
            </w:r>
          </w:p>
        </w:tc>
        <w:tc>
          <w:tcPr>
            <w:tcW w:type="dxa" w:w="1728"/>
          </w:tcPr>
          <w:p>
            <w:r>
              <w:rPr>
                <w:rFonts w:ascii="Calibri" w:hAnsi="Calibri"/>
                <w:sz w:val="22"/>
              </w:rPr>
              <w:t>$0.41</w:t>
            </w:r>
          </w:p>
        </w:tc>
        <w:tc>
          <w:tcPr>
            <w:tcW w:type="dxa" w:w="1728"/>
          </w:tcPr>
          <w:p>
            <w:r>
              <w:rPr>
                <w:rFonts w:ascii="Calibri" w:hAnsi="Calibri"/>
                <w:b/>
                <w:color w:val="30A46C"/>
                <w:sz w:val="22"/>
              </w:rPr>
              <w:t>+12.2%</w:t>
            </w:r>
          </w:p>
        </w:tc>
        <w:tc>
          <w:tcPr>
            <w:tcW w:type="dxa" w:w="1728"/>
          </w:tcPr>
          <w:p>
            <w:r>
              <w:rPr>
                <w:rFonts w:ascii="Calibri" w:hAnsi="Calibri"/>
                <w:sz w:val="22"/>
              </w:rPr>
              <w:t>Beat</w:t>
            </w:r>
          </w:p>
        </w:tc>
      </w:tr>
      <w:tr>
        <w:tc>
          <w:tcPr>
            <w:tcW w:type="dxa" w:w="1728"/>
          </w:tcPr>
          <w:p>
            <w:r>
              <w:rPr>
                <w:rFonts w:ascii="Calibri" w:hAnsi="Calibri"/>
                <w:sz w:val="22"/>
              </w:rPr>
              <w:t>Q1 FY2025</w:t>
            </w:r>
          </w:p>
        </w:tc>
        <w:tc>
          <w:tcPr>
            <w:tcW w:type="dxa" w:w="1728"/>
          </w:tcPr>
          <w:p>
            <w:r>
              <w:rPr>
                <w:rFonts w:ascii="Calibri" w:hAnsi="Calibri"/>
                <w:sz w:val="22"/>
              </w:rPr>
              <w:t>$0.46</w:t>
            </w:r>
          </w:p>
        </w:tc>
        <w:tc>
          <w:tcPr>
            <w:tcW w:type="dxa" w:w="1728"/>
          </w:tcPr>
          <w:p>
            <w:r>
              <w:rPr>
                <w:rFonts w:ascii="Calibri" w:hAnsi="Calibri"/>
                <w:sz w:val="22"/>
              </w:rPr>
              <w:t>$0.43</w:t>
            </w:r>
          </w:p>
        </w:tc>
        <w:tc>
          <w:tcPr>
            <w:tcW w:type="dxa" w:w="1728"/>
          </w:tcPr>
          <w:p>
            <w:r>
              <w:rPr>
                <w:rFonts w:ascii="Calibri" w:hAnsi="Calibri"/>
                <w:b/>
                <w:color w:val="30A46C"/>
                <w:sz w:val="22"/>
              </w:rPr>
              <w:t>+7.0%</w:t>
            </w:r>
          </w:p>
        </w:tc>
        <w:tc>
          <w:tcPr>
            <w:tcW w:type="dxa" w:w="1728"/>
          </w:tcPr>
          <w:p>
            <w:r>
              <w:rPr>
                <w:rFonts w:ascii="Calibri" w:hAnsi="Calibri"/>
                <w:sz w:val="22"/>
              </w:rPr>
              <w:t>Beat</w:t>
            </w:r>
          </w:p>
        </w:tc>
      </w:tr>
      <w:tr>
        <w:tc>
          <w:tcPr>
            <w:tcW w:type="dxa" w:w="1728"/>
          </w:tcPr>
          <w:p>
            <w:r>
              <w:rPr>
                <w:rFonts w:ascii="Calibri" w:hAnsi="Calibri"/>
                <w:sz w:val="22"/>
              </w:rPr>
              <w:t>Q4 FY2024</w:t>
            </w:r>
          </w:p>
        </w:tc>
        <w:tc>
          <w:tcPr>
            <w:tcW w:type="dxa" w:w="1728"/>
          </w:tcPr>
          <w:p>
            <w:r>
              <w:rPr>
                <w:rFonts w:ascii="Calibri" w:hAnsi="Calibri"/>
                <w:sz w:val="22"/>
              </w:rPr>
              <w:t>$0.49</w:t>
            </w:r>
          </w:p>
        </w:tc>
        <w:tc>
          <w:tcPr>
            <w:tcW w:type="dxa" w:w="1728"/>
          </w:tcPr>
          <w:p>
            <w:r>
              <w:rPr>
                <w:rFonts w:ascii="Calibri" w:hAnsi="Calibri"/>
                <w:sz w:val="22"/>
              </w:rPr>
              <w:t>$0.44</w:t>
            </w:r>
          </w:p>
        </w:tc>
        <w:tc>
          <w:tcPr>
            <w:tcW w:type="dxa" w:w="1728"/>
          </w:tcPr>
          <w:p>
            <w:r>
              <w:rPr>
                <w:rFonts w:ascii="Calibri" w:hAnsi="Calibri"/>
                <w:b/>
                <w:color w:val="30A46C"/>
                <w:sz w:val="22"/>
              </w:rPr>
              <w:t>+11.4%</w:t>
            </w:r>
          </w:p>
        </w:tc>
        <w:tc>
          <w:tcPr>
            <w:tcW w:type="dxa" w:w="1728"/>
          </w:tcPr>
          <w:p>
            <w:r>
              <w:rPr>
                <w:rFonts w:ascii="Calibri" w:hAnsi="Calibri"/>
                <w:sz w:val="22"/>
              </w:rPr>
              <w:t>Beat</w:t>
            </w:r>
          </w:p>
        </w:tc>
      </w:tr>
      <w:tr>
        <w:tc>
          <w:tcPr>
            <w:tcW w:type="dxa" w:w="1728"/>
          </w:tcPr>
          <w:p>
            <w:r>
              <w:rPr>
                <w:rFonts w:ascii="Calibri" w:hAnsi="Calibri"/>
                <w:sz w:val="22"/>
              </w:rPr>
              <w:t>Q3 FY2024</w:t>
            </w:r>
          </w:p>
        </w:tc>
        <w:tc>
          <w:tcPr>
            <w:tcW w:type="dxa" w:w="1728"/>
          </w:tcPr>
          <w:p>
            <w:r>
              <w:rPr>
                <w:rFonts w:ascii="Calibri" w:hAnsi="Calibri"/>
                <w:sz w:val="22"/>
              </w:rPr>
              <w:t>$0.46</w:t>
            </w:r>
          </w:p>
        </w:tc>
        <w:tc>
          <w:tcPr>
            <w:tcW w:type="dxa" w:w="1728"/>
          </w:tcPr>
          <w:p>
            <w:r>
              <w:rPr>
                <w:rFonts w:ascii="Calibri" w:hAnsi="Calibri"/>
                <w:sz w:val="22"/>
              </w:rPr>
              <w:t>$0.40</w:t>
            </w:r>
          </w:p>
        </w:tc>
        <w:tc>
          <w:tcPr>
            <w:tcW w:type="dxa" w:w="1728"/>
          </w:tcPr>
          <w:p>
            <w:r>
              <w:rPr>
                <w:rFonts w:ascii="Calibri" w:hAnsi="Calibri"/>
                <w:b/>
                <w:color w:val="30A46C"/>
                <w:sz w:val="22"/>
              </w:rPr>
              <w:t>+15.0%</w:t>
            </w:r>
          </w:p>
        </w:tc>
        <w:tc>
          <w:tcPr>
            <w:tcW w:type="dxa" w:w="1728"/>
          </w:tcPr>
          <w:p>
            <w:r>
              <w:rPr>
                <w:rFonts w:ascii="Calibri" w:hAnsi="Calibri"/>
                <w:sz w:val="22"/>
              </w:rPr>
              <w:t>Beat</w:t>
            </w:r>
          </w:p>
        </w:tc>
      </w:tr>
      <w:tr>
        <w:tc>
          <w:tcPr>
            <w:tcW w:type="dxa" w:w="1728"/>
          </w:tcPr>
          <w:p>
            <w:r>
              <w:rPr>
                <w:rFonts w:ascii="Calibri" w:hAnsi="Calibri"/>
                <w:sz w:val="22"/>
              </w:rPr>
              <w:t>Q2 FY2024</w:t>
            </w:r>
          </w:p>
        </w:tc>
        <w:tc>
          <w:tcPr>
            <w:tcW w:type="dxa" w:w="1728"/>
          </w:tcPr>
          <w:p>
            <w:r>
              <w:rPr>
                <w:rFonts w:ascii="Calibri" w:hAnsi="Calibri"/>
                <w:sz w:val="22"/>
              </w:rPr>
              <w:t>$0.43</w:t>
            </w:r>
          </w:p>
        </w:tc>
        <w:tc>
          <w:tcPr>
            <w:tcW w:type="dxa" w:w="1728"/>
          </w:tcPr>
          <w:p>
            <w:r>
              <w:rPr>
                <w:rFonts w:ascii="Calibri" w:hAnsi="Calibri"/>
                <w:sz w:val="22"/>
              </w:rPr>
              <w:t>$0.36</w:t>
            </w:r>
          </w:p>
        </w:tc>
        <w:tc>
          <w:tcPr>
            <w:tcW w:type="dxa" w:w="1728"/>
          </w:tcPr>
          <w:p>
            <w:r>
              <w:rPr>
                <w:rFonts w:ascii="Calibri" w:hAnsi="Calibri"/>
                <w:b/>
                <w:color w:val="30A46C"/>
                <w:sz w:val="22"/>
              </w:rPr>
              <w:t>+18.1%</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DDOG has beaten consensus on both revenue and EPS in each of the last 8 consecutive quarters, with revenue beats averaging ~3–5% and EPS beats averaging ~10–18% — a remarkably consistent track record that reflects management's conservative guidance philosophy.</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No formal guidance revision since the Q1 earnings call; management's tone at the June 3 BofA conference was constructively bullish, reiterating broad-based acceleration across cohorts with </w:t>
      </w:r>
      <w:r>
        <w:rPr>
          <w:rFonts w:ascii="Calibri" w:hAnsi="Calibri"/>
          <w:b/>
          <w:color w:val="525866"/>
          <w:sz w:val="22"/>
        </w:rPr>
        <w:t>no change to the guidance methodology or conservatism applied to the largest customer</w:t>
      </w:r>
      <w:r>
        <w:rPr>
          <w:rFonts w:ascii="Calibri" w:hAnsi="Calibri"/>
          <w:color w:val="525866"/>
          <w:sz w:val="22"/>
        </w:rPr>
        <w: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FY2026 Earnings Call,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FY2026 Revenue</w:t>
            </w:r>
          </w:p>
        </w:tc>
        <w:tc>
          <w:tcPr>
            <w:tcW w:type="dxa" w:w="1728"/>
          </w:tcPr>
          <w:p>
            <w:r>
              <w:rPr>
                <w:rFonts w:ascii="Calibri" w:hAnsi="Calibri"/>
                <w:sz w:val="22"/>
              </w:rPr>
              <w:t>$1,070M – $1,080M (+29% to +31% YoY)</w:t>
            </w:r>
          </w:p>
        </w:tc>
        <w:tc>
          <w:tcPr>
            <w:tcW w:type="dxa" w:w="1728"/>
          </w:tcPr>
          <w:p>
            <w:r>
              <w:rPr>
                <w:rFonts w:ascii="Calibri" w:hAnsi="Calibri"/>
                <w:sz w:val="22"/>
              </w:rPr>
              <w:t>—</w:t>
            </w:r>
          </w:p>
        </w:tc>
        <w:tc>
          <w:tcPr>
            <w:tcW w:type="dxa" w:w="1728"/>
          </w:tcPr>
          <w:p>
            <w:r>
              <w:rPr>
                <w:rFonts w:ascii="Calibri" w:hAnsi="Calibri"/>
                <w:sz w:val="22"/>
              </w:rPr>
              <w:t>$1,079.7M</w:t>
            </w:r>
          </w:p>
        </w:tc>
        <w:tc>
          <w:tcPr>
            <w:tcW w:type="dxa" w:w="1728"/>
          </w:tcPr>
          <w:p>
            <w:r>
              <w:rPr>
                <w:rFonts w:ascii="Calibri" w:hAnsi="Calibri"/>
                <w:sz w:val="22"/>
              </w:rPr>
              <w:t>No change since Q1 call; consensus at high end of range. Guidance implies $64–$74M sequential growth (6–7%).</w:t>
            </w:r>
          </w:p>
        </w:tc>
      </w:tr>
      <w:tr>
        <w:tc>
          <w:tcPr>
            <w:tcW w:type="dxa" w:w="1728"/>
          </w:tcPr>
          <w:p>
            <w:r>
              <w:rPr>
                <w:rFonts w:ascii="Calibri" w:hAnsi="Calibri"/>
                <w:sz w:val="22"/>
              </w:rPr>
              <w:t>Q2 FY2026 Non-GAAP Operating Income</w:t>
            </w:r>
          </w:p>
        </w:tc>
        <w:tc>
          <w:tcPr>
            <w:tcW w:type="dxa" w:w="1728"/>
          </w:tcPr>
          <w:p>
            <w:r>
              <w:rPr>
                <w:rFonts w:ascii="Calibri" w:hAnsi="Calibri"/>
                <w:sz w:val="22"/>
              </w:rPr>
              <w:t>$225M – $235M (21–22% margin)</w:t>
            </w:r>
          </w:p>
        </w:tc>
        <w:tc>
          <w:tcPr>
            <w:tcW w:type="dxa" w:w="1728"/>
          </w:tcPr>
          <w:p>
            <w:r>
              <w:rPr>
                <w:rFonts w:ascii="Calibri" w:hAnsi="Calibri"/>
                <w:sz w:val="22"/>
              </w:rPr>
              <w:t>—</w:t>
            </w:r>
          </w:p>
        </w:tc>
        <w:tc>
          <w:tcPr>
            <w:tcW w:type="dxa" w:w="1728"/>
          </w:tcPr>
          <w:p>
            <w:r>
              <w:rPr>
                <w:rFonts w:ascii="Calibri" w:hAnsi="Calibri"/>
                <w:sz w:val="22"/>
              </w:rPr>
              <w:t>$234.3M</w:t>
            </w:r>
          </w:p>
        </w:tc>
        <w:tc>
          <w:tcPr>
            <w:tcW w:type="dxa" w:w="1728"/>
          </w:tcPr>
          <w:p>
            <w:r>
              <w:rPr>
                <w:rFonts w:ascii="Calibri" w:hAnsi="Calibri"/>
                <w:sz w:val="22"/>
              </w:rPr>
              <w:t>No change. Includes ~$15M DASH user conference cost. Consensus near high end.</w:t>
            </w:r>
          </w:p>
        </w:tc>
      </w:tr>
      <w:tr>
        <w:tc>
          <w:tcPr>
            <w:tcW w:type="dxa" w:w="1728"/>
          </w:tcPr>
          <w:p>
            <w:r>
              <w:rPr>
                <w:rFonts w:ascii="Calibri" w:hAnsi="Calibri"/>
                <w:sz w:val="22"/>
              </w:rPr>
              <w:t>Q2 FY2026 Non-GAAP EPS</w:t>
            </w:r>
          </w:p>
        </w:tc>
        <w:tc>
          <w:tcPr>
            <w:tcW w:type="dxa" w:w="1728"/>
          </w:tcPr>
          <w:p>
            <w:r>
              <w:rPr>
                <w:rFonts w:ascii="Calibri" w:hAnsi="Calibri"/>
                <w:sz w:val="22"/>
              </w:rPr>
              <w:t>$0.57 – $0.59 (~369M diluted shares)</w:t>
            </w:r>
          </w:p>
        </w:tc>
        <w:tc>
          <w:tcPr>
            <w:tcW w:type="dxa" w:w="1728"/>
          </w:tcPr>
          <w:p>
            <w:r>
              <w:rPr>
                <w:rFonts w:ascii="Calibri" w:hAnsi="Calibri"/>
                <w:sz w:val="22"/>
              </w:rPr>
              <w:t>—</w:t>
            </w:r>
          </w:p>
        </w:tc>
        <w:tc>
          <w:tcPr>
            <w:tcW w:type="dxa" w:w="1728"/>
          </w:tcPr>
          <w:p>
            <w:r>
              <w:rPr>
                <w:rFonts w:ascii="Calibri" w:hAnsi="Calibri"/>
                <w:sz w:val="22"/>
              </w:rPr>
              <w:t>$0.59</w:t>
            </w:r>
          </w:p>
        </w:tc>
        <w:tc>
          <w:tcPr>
            <w:tcW w:type="dxa" w:w="1728"/>
          </w:tcPr>
          <w:p>
            <w:r>
              <w:rPr>
                <w:rFonts w:ascii="Calibri" w:hAnsi="Calibri"/>
                <w:sz w:val="22"/>
              </w:rPr>
              <w:t>No change. Consensus at high end of range.</w:t>
            </w:r>
          </w:p>
        </w:tc>
      </w:tr>
      <w:tr>
        <w:tc>
          <w:tcPr>
            <w:tcW w:type="dxa" w:w="1728"/>
          </w:tcPr>
          <w:p>
            <w:r>
              <w:rPr>
                <w:rFonts w:ascii="Calibri" w:hAnsi="Calibri"/>
                <w:sz w:val="22"/>
              </w:rPr>
              <w:t>FY2026 Revenue</w:t>
            </w:r>
          </w:p>
        </w:tc>
        <w:tc>
          <w:tcPr>
            <w:tcW w:type="dxa" w:w="1728"/>
          </w:tcPr>
          <w:p>
            <w:r>
              <w:rPr>
                <w:rFonts w:ascii="Calibri" w:hAnsi="Calibri"/>
                <w:sz w:val="22"/>
              </w:rPr>
              <w:t>$4,300M – $4,340M (+25% to +27% YoY)</w:t>
            </w:r>
          </w:p>
        </w:tc>
        <w:tc>
          <w:tcPr>
            <w:tcW w:type="dxa" w:w="1728"/>
          </w:tcPr>
          <w:p>
            <w:r>
              <w:rPr>
                <w:rFonts w:ascii="Calibri" w:hAnsi="Calibri"/>
                <w:sz w:val="22"/>
              </w:rPr>
              <w:t>—</w:t>
            </w:r>
          </w:p>
        </w:tc>
        <w:tc>
          <w:tcPr>
            <w:tcW w:type="dxa" w:w="1728"/>
          </w:tcPr>
          <w:p>
            <w:r>
              <w:rPr>
                <w:rFonts w:ascii="Calibri" w:hAnsi="Calibri"/>
                <w:sz w:val="22"/>
              </w:rPr>
              <w:t>$4,356.8M</w:t>
            </w:r>
          </w:p>
        </w:tc>
        <w:tc>
          <w:tcPr>
            <w:tcW w:type="dxa" w:w="1728"/>
          </w:tcPr>
          <w:p>
            <w:r>
              <w:rPr>
                <w:rFonts w:ascii="Calibri" w:hAnsi="Calibri"/>
                <w:sz w:val="22"/>
              </w:rPr>
              <w:t>No change. Consensus slightly above midpoint ($4,320M). Raised materially from prior range at Q1 print.</w:t>
            </w:r>
          </w:p>
        </w:tc>
      </w:tr>
      <w:tr>
        <w:tc>
          <w:tcPr>
            <w:tcW w:type="dxa" w:w="1728"/>
          </w:tcPr>
          <w:p>
            <w:r>
              <w:rPr>
                <w:rFonts w:ascii="Calibri" w:hAnsi="Calibri"/>
                <w:sz w:val="22"/>
              </w:rPr>
              <w:t>FY2026 Non-GAAP Operating Income</w:t>
            </w:r>
          </w:p>
        </w:tc>
        <w:tc>
          <w:tcPr>
            <w:tcW w:type="dxa" w:w="1728"/>
          </w:tcPr>
          <w:p>
            <w:r>
              <w:rPr>
                <w:rFonts w:ascii="Calibri" w:hAnsi="Calibri"/>
                <w:sz w:val="22"/>
              </w:rPr>
              <w:t>$940M – $980M (22–23% margin)</w:t>
            </w:r>
          </w:p>
        </w:tc>
        <w:tc>
          <w:tcPr>
            <w:tcW w:type="dxa" w:w="1728"/>
          </w:tcPr>
          <w:p>
            <w:r>
              <w:rPr>
                <w:rFonts w:ascii="Calibri" w:hAnsi="Calibri"/>
                <w:sz w:val="22"/>
              </w:rPr>
              <w:t>—</w:t>
            </w:r>
          </w:p>
        </w:tc>
        <w:tc>
          <w:tcPr>
            <w:tcW w:type="dxa" w:w="1728"/>
          </w:tcPr>
          <w:p>
            <w:r>
              <w:rPr>
                <w:rFonts w:ascii="Calibri" w:hAnsi="Calibri"/>
                <w:sz w:val="22"/>
              </w:rPr>
              <w:t>$978.4M</w:t>
            </w:r>
          </w:p>
        </w:tc>
        <w:tc>
          <w:tcPr>
            <w:tcW w:type="dxa" w:w="1728"/>
          </w:tcPr>
          <w:p>
            <w:r>
              <w:rPr>
                <w:rFonts w:ascii="Calibri" w:hAnsi="Calibri"/>
                <w:sz w:val="22"/>
              </w:rPr>
              <w:t>No change. Consensus near high end of range.</w:t>
            </w:r>
          </w:p>
        </w:tc>
      </w:tr>
      <w:tr>
        <w:tc>
          <w:tcPr>
            <w:tcW w:type="dxa" w:w="1728"/>
          </w:tcPr>
          <w:p>
            <w:r>
              <w:rPr>
                <w:rFonts w:ascii="Calibri" w:hAnsi="Calibri"/>
                <w:sz w:val="22"/>
              </w:rPr>
              <w:t>FY2026 Non-GAAP EPS</w:t>
            </w:r>
          </w:p>
        </w:tc>
        <w:tc>
          <w:tcPr>
            <w:tcW w:type="dxa" w:w="1728"/>
          </w:tcPr>
          <w:p>
            <w:r>
              <w:rPr>
                <w:rFonts w:ascii="Calibri" w:hAnsi="Calibri"/>
                <w:sz w:val="22"/>
              </w:rPr>
              <w:t>$2.36 – $2.44 (~372M diluted shares)</w:t>
            </w:r>
          </w:p>
        </w:tc>
        <w:tc>
          <w:tcPr>
            <w:tcW w:type="dxa" w:w="1728"/>
          </w:tcPr>
          <w:p>
            <w:r>
              <w:rPr>
                <w:rFonts w:ascii="Calibri" w:hAnsi="Calibri"/>
                <w:sz w:val="22"/>
              </w:rPr>
              <w:t>—</w:t>
            </w:r>
          </w:p>
        </w:tc>
        <w:tc>
          <w:tcPr>
            <w:tcW w:type="dxa" w:w="1728"/>
          </w:tcPr>
          <w:p>
            <w:r>
              <w:rPr>
                <w:rFonts w:ascii="Calibri" w:hAnsi="Calibri"/>
                <w:sz w:val="22"/>
              </w:rPr>
              <w:t>$2.49</w:t>
            </w:r>
          </w:p>
        </w:tc>
        <w:tc>
          <w:tcPr>
            <w:tcW w:type="dxa" w:w="1728"/>
          </w:tcPr>
          <w:p>
            <w:r>
              <w:rPr>
                <w:rFonts w:ascii="Calibri" w:hAnsi="Calibri"/>
                <w:sz w:val="22"/>
              </w:rPr>
              <w:t>Consensus slightly above high end of guidance range; reflects operating leverage expectations.</w:t>
            </w:r>
          </w:p>
        </w:tc>
      </w:tr>
      <w:tr>
        <w:tc>
          <w:tcPr>
            <w:tcW w:type="dxa" w:w="1728"/>
          </w:tcPr>
          <w:p>
            <w:r>
              <w:rPr>
                <w:rFonts w:ascii="Calibri" w:hAnsi="Calibri"/>
                <w:sz w:val="22"/>
              </w:rPr>
              <w:t>Management Tone</w:t>
            </w:r>
          </w:p>
        </w:tc>
        <w:tc>
          <w:tcPr>
            <w:tcW w:type="dxa" w:w="1728"/>
          </w:tcPr>
          <w:p>
            <w:r>
              <w:rPr>
                <w:rFonts w:ascii="Calibri" w:hAnsi="Calibri"/>
                <w:sz w:val="22"/>
              </w:rPr>
              <w:t>Bullish; broad-based acceleration across AI-native and non-AI cohorts; heightened conservatism on largest customer maintained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BofA Tech Conf (Jun 3): CFO reiterated acceleration trend; no guidance update; DASH conference flagged as Q2 cost item (~$15M)</w:t>
            </w:r>
          </w:p>
        </w:tc>
      </w:tr>
    </w:tbl>
    <w:p>
      <w:r>
        <w:rPr>
          <w:rFonts w:ascii="Calibri" w:hAnsi="Calibri"/>
          <w:i/>
          <w:color w:val="525866"/>
          <w:sz w:val="22"/>
        </w:rPr>
        <w:t>Source: Q1 FY2026 earnings call transcript (May 7, 2026); BofA Global Technology Conference transcript (June 3, 2026); Visible Alpha consensus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modestly higher since the Q1 print baseline, tracking in line with the raised guidance rather than diverging; </w:t>
      </w:r>
      <w:r>
        <w:rPr>
          <w:rFonts w:ascii="Calibri" w:hAnsi="Calibri"/>
          <w:b/>
          <w:color w:val="525866"/>
          <w:sz w:val="22"/>
        </w:rPr>
        <w:t>the ~$37M upward revision to FY2026 revenue consensus since the Q1 print reflects the guidance raise being absorbed, not incremental optimism</w:t>
      </w:r>
      <w:r>
        <w:rPr>
          <w:rFonts w:ascii="Calibri" w:hAnsi="Calibri"/>
          <w:color w:val="525866"/>
          <w:sz w:val="22"/>
        </w:rPr>
        <w:t xml:space="preserve"> — this limits both upside from revision momentum and downside from over-optimism.</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12,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Revenue — Q2 FY2026</w:t>
            </w:r>
          </w:p>
        </w:tc>
        <w:tc>
          <w:tcPr>
            <w:tcW w:type="dxa" w:w="1080"/>
          </w:tcPr>
          <w:p>
            <w:r>
              <w:rPr>
                <w:rFonts w:ascii="Calibri" w:hAnsi="Calibri"/>
                <w:sz w:val="22"/>
              </w:rPr>
              <w:t>$1,076.6M</w:t>
            </w:r>
          </w:p>
        </w:tc>
        <w:tc>
          <w:tcPr>
            <w:tcW w:type="dxa" w:w="1080"/>
          </w:tcPr>
          <w:p>
            <w:r>
              <w:rPr>
                <w:rFonts w:ascii="Calibri" w:hAnsi="Calibri"/>
                <w:sz w:val="22"/>
              </w:rPr>
              <w:t>$1,079.7M</w:t>
            </w:r>
          </w:p>
        </w:tc>
        <w:tc>
          <w:tcPr>
            <w:tcW w:type="dxa" w:w="1080"/>
          </w:tcPr>
          <w:p>
            <w:r>
              <w:rPr>
                <w:rFonts w:ascii="Calibri" w:hAnsi="Calibri"/>
                <w:sz w:val="22"/>
              </w:rPr>
              <w:t>+0.3%</w:t>
            </w:r>
          </w:p>
        </w:tc>
        <w:tc>
          <w:tcPr>
            <w:tcW w:type="dxa" w:w="1080"/>
          </w:tcPr>
          <w:p>
            <w:r>
              <w:rPr>
                <w:rFonts w:ascii="Calibri" w:hAnsi="Calibri"/>
                <w:sz w:val="22"/>
              </w:rPr>
              <w:t>$1,070–$1,080M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(at high end)</w:t>
            </w:r>
          </w:p>
        </w:tc>
      </w:tr>
      <w:tr>
        <w:tc>
          <w:tcPr>
            <w:tcW w:type="dxa" w:w="1080"/>
          </w:tcPr>
          <w:p>
            <w:r>
              <w:rPr>
                <w:rFonts w:ascii="Calibri" w:hAnsi="Calibri"/>
                <w:sz w:val="22"/>
              </w:rPr>
              <w:t>Revenue — FY2026</w:t>
            </w:r>
          </w:p>
        </w:tc>
        <w:tc>
          <w:tcPr>
            <w:tcW w:type="dxa" w:w="1080"/>
          </w:tcPr>
          <w:p>
            <w:r>
              <w:rPr>
                <w:rFonts w:ascii="Calibri" w:hAnsi="Calibri"/>
                <w:sz w:val="22"/>
              </w:rPr>
              <w:t>$4,343.0M</w:t>
            </w:r>
          </w:p>
        </w:tc>
        <w:tc>
          <w:tcPr>
            <w:tcW w:type="dxa" w:w="1080"/>
          </w:tcPr>
          <w:p>
            <w:r>
              <w:rPr>
                <w:rFonts w:ascii="Calibri" w:hAnsi="Calibri"/>
                <w:sz w:val="22"/>
              </w:rPr>
              <w:t>$4,356.8M</w:t>
            </w:r>
          </w:p>
        </w:tc>
        <w:tc>
          <w:tcPr>
            <w:tcW w:type="dxa" w:w="1080"/>
          </w:tcPr>
          <w:p>
            <w:r>
              <w:rPr>
                <w:rFonts w:ascii="Calibri" w:hAnsi="Calibri"/>
                <w:sz w:val="22"/>
              </w:rPr>
              <w:t>+0.3%</w:t>
            </w:r>
          </w:p>
        </w:tc>
        <w:tc>
          <w:tcPr>
            <w:tcW w:type="dxa" w:w="1080"/>
          </w:tcPr>
          <w:p>
            <w:r>
              <w:rPr>
                <w:rFonts w:ascii="Calibri" w:hAnsi="Calibri"/>
                <w:sz w:val="22"/>
              </w:rPr>
              <w:t>$4,300–$4,340M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 above midpoint</w:t>
            </w:r>
          </w:p>
        </w:tc>
      </w:tr>
      <w:tr>
        <w:tc>
          <w:tcPr>
            <w:tcW w:type="dxa" w:w="1080"/>
          </w:tcPr>
          <w:p>
            <w:r>
              <w:rPr>
                <w:rFonts w:ascii="Calibri" w:hAnsi="Calibri"/>
                <w:sz w:val="22"/>
              </w:rPr>
              <w:t>Non-GAAP Op. Income — Q2 FY2026</w:t>
            </w:r>
          </w:p>
        </w:tc>
        <w:tc>
          <w:tcPr>
            <w:tcW w:type="dxa" w:w="1080"/>
          </w:tcPr>
          <w:p>
            <w:r>
              <w:rPr>
                <w:rFonts w:ascii="Calibri" w:hAnsi="Calibri"/>
                <w:sz w:val="22"/>
              </w:rPr>
              <w:t>$233.8M</w:t>
            </w:r>
          </w:p>
        </w:tc>
        <w:tc>
          <w:tcPr>
            <w:tcW w:type="dxa" w:w="1080"/>
          </w:tcPr>
          <w:p>
            <w:r>
              <w:rPr>
                <w:rFonts w:ascii="Calibri" w:hAnsi="Calibri"/>
                <w:sz w:val="22"/>
              </w:rPr>
              <w:t>$234.3M</w:t>
            </w:r>
          </w:p>
        </w:tc>
        <w:tc>
          <w:tcPr>
            <w:tcW w:type="dxa" w:w="1080"/>
          </w:tcPr>
          <w:p>
            <w:r>
              <w:rPr>
                <w:rFonts w:ascii="Calibri" w:hAnsi="Calibri"/>
                <w:sz w:val="22"/>
              </w:rPr>
              <w:t>+0.2%</w:t>
            </w:r>
          </w:p>
        </w:tc>
        <w:tc>
          <w:tcPr>
            <w:tcW w:type="dxa" w:w="1080"/>
          </w:tcPr>
          <w:p>
            <w:r>
              <w:rPr>
                <w:rFonts w:ascii="Calibri" w:hAnsi="Calibri"/>
                <w:sz w:val="22"/>
              </w:rPr>
              <w:t>$225–$235M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(at midpoint)</w:t>
            </w:r>
          </w:p>
        </w:tc>
      </w:tr>
      <w:tr>
        <w:tc>
          <w:tcPr>
            <w:tcW w:type="dxa" w:w="1080"/>
          </w:tcPr>
          <w:p>
            <w:r>
              <w:rPr>
                <w:rFonts w:ascii="Calibri" w:hAnsi="Calibri"/>
                <w:sz w:val="22"/>
              </w:rPr>
              <w:t>Non-GAAP Op. Income — FY2026</w:t>
            </w:r>
          </w:p>
        </w:tc>
        <w:tc>
          <w:tcPr>
            <w:tcW w:type="dxa" w:w="1080"/>
          </w:tcPr>
          <w:p>
            <w:r>
              <w:rPr>
                <w:rFonts w:ascii="Calibri" w:hAnsi="Calibri"/>
                <w:sz w:val="22"/>
              </w:rPr>
              <w:t>$974.9M</w:t>
            </w:r>
          </w:p>
        </w:tc>
        <w:tc>
          <w:tcPr>
            <w:tcW w:type="dxa" w:w="1080"/>
          </w:tcPr>
          <w:p>
            <w:r>
              <w:rPr>
                <w:rFonts w:ascii="Calibri" w:hAnsi="Calibri"/>
                <w:sz w:val="22"/>
              </w:rPr>
              <w:t>$978.4M</w:t>
            </w:r>
          </w:p>
        </w:tc>
        <w:tc>
          <w:tcPr>
            <w:tcW w:type="dxa" w:w="1080"/>
          </w:tcPr>
          <w:p>
            <w:r>
              <w:rPr>
                <w:rFonts w:ascii="Calibri" w:hAnsi="Calibri"/>
                <w:sz w:val="22"/>
              </w:rPr>
              <w:t>+0.4%</w:t>
            </w:r>
          </w:p>
        </w:tc>
        <w:tc>
          <w:tcPr>
            <w:tcW w:type="dxa" w:w="1080"/>
          </w:tcPr>
          <w:p>
            <w:r>
              <w:rPr>
                <w:rFonts w:ascii="Calibri" w:hAnsi="Calibri"/>
                <w:sz w:val="22"/>
              </w:rPr>
              <w:t>$940–$980M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 above midpoint</w:t>
            </w:r>
          </w:p>
        </w:tc>
      </w:tr>
      <w:tr>
        <w:tc>
          <w:tcPr>
            <w:tcW w:type="dxa" w:w="1080"/>
          </w:tcPr>
          <w:p>
            <w:r>
              <w:rPr>
                <w:rFonts w:ascii="Calibri" w:hAnsi="Calibri"/>
                <w:sz w:val="22"/>
              </w:rPr>
              <w:t>Non-GAAP EPS — Q2 FY2026</w:t>
            </w:r>
          </w:p>
        </w:tc>
        <w:tc>
          <w:tcPr>
            <w:tcW w:type="dxa" w:w="1080"/>
          </w:tcPr>
          <w:p>
            <w:r>
              <w:rPr>
                <w:rFonts w:ascii="Calibri" w:hAnsi="Calibri"/>
                <w:sz w:val="22"/>
              </w:rPr>
              <w:t>$0.585</w:t>
            </w:r>
          </w:p>
        </w:tc>
        <w:tc>
          <w:tcPr>
            <w:tcW w:type="dxa" w:w="1080"/>
          </w:tcPr>
          <w:p>
            <w:r>
              <w:rPr>
                <w:rFonts w:ascii="Calibri" w:hAnsi="Calibri"/>
                <w:sz w:val="22"/>
              </w:rPr>
              <w:t>$0.591</w:t>
            </w:r>
          </w:p>
        </w:tc>
        <w:tc>
          <w:tcPr>
            <w:tcW w:type="dxa" w:w="1080"/>
          </w:tcPr>
          <w:p>
            <w:r>
              <w:rPr>
                <w:rFonts w:ascii="Calibri" w:hAnsi="Calibri"/>
                <w:sz w:val="22"/>
              </w:rPr>
              <w:t>+1.0%</w:t>
            </w:r>
          </w:p>
        </w:tc>
        <w:tc>
          <w:tcPr>
            <w:tcW w:type="dxa" w:w="1080"/>
          </w:tcPr>
          <w:p>
            <w:r>
              <w:rPr>
                <w:rFonts w:ascii="Calibri" w:hAnsi="Calibri"/>
                <w:sz w:val="22"/>
              </w:rPr>
              <w:t>$0.57–$0.59</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(at high end)</w:t>
            </w:r>
          </w:p>
        </w:tc>
      </w:tr>
      <w:tr>
        <w:tc>
          <w:tcPr>
            <w:tcW w:type="dxa" w:w="1080"/>
          </w:tcPr>
          <w:p>
            <w:r>
              <w:rPr>
                <w:rFonts w:ascii="Calibri" w:hAnsi="Calibri"/>
                <w:sz w:val="22"/>
              </w:rPr>
              <w:t>Non-GAAP EPS — FY2026</w:t>
            </w:r>
          </w:p>
        </w:tc>
        <w:tc>
          <w:tcPr>
            <w:tcW w:type="dxa" w:w="1080"/>
          </w:tcPr>
          <w:p>
            <w:r>
              <w:rPr>
                <w:rFonts w:ascii="Calibri" w:hAnsi="Calibri"/>
                <w:sz w:val="22"/>
              </w:rPr>
              <w:t>$2.428</w:t>
            </w:r>
          </w:p>
        </w:tc>
        <w:tc>
          <w:tcPr>
            <w:tcW w:type="dxa" w:w="1080"/>
          </w:tcPr>
          <w:p>
            <w:r>
              <w:rPr>
                <w:rFonts w:ascii="Calibri" w:hAnsi="Calibri"/>
                <w:sz w:val="22"/>
              </w:rPr>
              <w:t>$2.488</w:t>
            </w:r>
          </w:p>
        </w:tc>
        <w:tc>
          <w:tcPr>
            <w:tcW w:type="dxa" w:w="1080"/>
          </w:tcPr>
          <w:p>
            <w:r>
              <w:rPr>
                <w:rFonts w:ascii="Calibri" w:hAnsi="Calibri"/>
                <w:sz w:val="22"/>
              </w:rPr>
              <w:t>+2.5%</w:t>
            </w:r>
          </w:p>
        </w:tc>
        <w:tc>
          <w:tcPr>
            <w:tcW w:type="dxa" w:w="1080"/>
          </w:tcPr>
          <w:p>
            <w:r>
              <w:rPr>
                <w:rFonts w:ascii="Calibri" w:hAnsi="Calibri"/>
                <w:sz w:val="22"/>
              </w:rPr>
              <w:t>$2.36–$2.44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+2.0% above high end</w:t>
            </w:r>
          </w:p>
        </w:tc>
      </w:tr>
      <w:tr>
        <w:tc>
          <w:tcPr>
            <w:tcW w:type="dxa" w:w="1080"/>
          </w:tcPr>
          <w:p>
            <w:r>
              <w:rPr>
                <w:rFonts w:ascii="Calibri" w:hAnsi="Calibri"/>
                <w:sz w:val="22"/>
              </w:rPr>
              <w:t>$100K+ Customers — Q2 FY2026</w:t>
            </w:r>
          </w:p>
        </w:tc>
        <w:tc>
          <w:tcPr>
            <w:tcW w:type="dxa" w:w="1080"/>
          </w:tcPr>
          <w:p>
            <w:r>
              <w:rPr>
                <w:rFonts w:ascii="Calibri" w:hAnsi="Calibri"/>
                <w:sz w:val="22"/>
              </w:rPr>
              <w:t>4,608</w:t>
            </w:r>
          </w:p>
        </w:tc>
        <w:tc>
          <w:tcPr>
            <w:tcW w:type="dxa" w:w="1080"/>
          </w:tcPr>
          <w:p>
            <w:r>
              <w:rPr>
                <w:rFonts w:ascii="Calibri" w:hAnsi="Calibri"/>
                <w:sz w:val="22"/>
              </w:rPr>
              <w:t>4,584</w:t>
            </w:r>
          </w:p>
        </w:tc>
        <w:tc>
          <w:tcPr>
            <w:tcW w:type="dxa" w:w="1080"/>
          </w:tcPr>
          <w:p>
            <w:r>
              <w:rPr>
                <w:rFonts w:ascii="Calibri" w:hAnsi="Calibri"/>
                <w:sz w:val="22"/>
              </w:rPr>
              <w:t>-0.5%</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have been remarkably stable since the Q1 print, with revisions of less than 1% on revenue and operating income for both Q2 and FY2026. The modest upward drift in FY2026 EPS consensus (now $2.49, above the $2.44 guidance ceiling) reflects operating leverage expectations rather than revenue upside. The gap between consensus and guidance is narrow, meaning any beat would need to come from execution rather than estimate compression.</w:t>
      </w:r>
    </w:p>
    <w:p>
      <w:r>
        <w:rPr>
          <w:rFonts w:ascii="Calibri" w:hAnsi="Calibri"/>
          <w:i/>
          <w:color w:val="525866"/>
          <w:sz w:val="22"/>
        </w:rPr>
        <w:t>Source: Visible Alpha consensus data; as-of date May 12, 2026 used as post-Q1 baseline (5 trading days after May 7 earnings).</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DDOG has surged ~50% since the Q1 earnings print vs. IGV +11.5% and SPY +5.2%, driven primarily by </w:t>
      </w:r>
      <w:r>
        <w:rPr>
          <w:rFonts w:ascii="Calibri" w:hAnsi="Calibri"/>
          <w:b/>
          <w:color w:val="525866"/>
          <w:sz w:val="22"/>
        </w:rPr>
        <w:t>multiple expansion on AI platform re-rating</w:t>
      </w:r>
      <w:r>
        <w:rPr>
          <w:rFonts w:ascii="Calibri" w:hAnsi="Calibri"/>
          <w:color w:val="525866"/>
          <w:sz w:val="22"/>
        </w:rPr>
        <w:t xml:space="preserve"> rather than estimate revisions (which moved only ~1–2%); the stock is now pricing in sustained execution at or above the raised guidance, raising the bar for a positive reaction on the Q2 print.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DDOG vs. IGV (iShares Expanded Tech-Software ETF) vs. S&amp;P 500 (SPY) — Indexed to 100 at Q1 FY2026 Earnings Date (May 7, 2026). Source: Yahoo Finance / Stock Price Data.</w:t>
      </w:r>
    </w:p>
    <w:p>
      <w:r>
        <w:rPr>
          <w:rFonts w:ascii="Calibri" w:hAnsi="Calibri"/>
          <w:color w:val="525866"/>
          <w:sz w:val="22"/>
        </w:rPr>
        <w:t>DDOG's outperformance since the Q1 print has been driven by a combination of factors: (1) the first-ever $1B+ quarterly revenue milestone, (2) a materially raised FY2026 guidance range, (3) record new logo bookings more than doubling YoY, and (4) the emergence of AI training workloads as a new addressable market (two hyperscaler-scale deals). The Truist Securities upgrade to Buy on June 15 provided an additional catalyst. The stock's ~50% gain in roughly three months compresses the margin of safety heading into Q2 results — the market is now pricing in continued execution at the high end of guidance, leaving limited room for any miss or guidance conservatism.</w:t>
      </w:r>
    </w:p>
    <w:p>
      <w:r>
        <w:rPr>
          <w:rFonts w:ascii="Calibri" w:hAnsi="Calibri"/>
          <w:i/>
          <w:color w:val="525866"/>
          <w:sz w:val="22"/>
        </w:rPr>
        <w:t>Sector ETF used: IGV (iShares Expanded Tech-Software ETF) — appropriate for DDOG's cloud observability/software sub-sector. Key events marked: BofA Technology Conference (June 3, 2026) and Truist Securities upgrade to Buy (June 15, 2026).</w:t>
      </w:r>
    </w:p>
    <w:p>
      <w:r>
        <w:br w:type="page"/>
      </w:r>
    </w:p>
    <w:p>
      <w:pPr>
        <w:pStyle w:val="Heading1"/>
        <w:pBdr>
          <w:bottom w:val="single" w:sz="4" w:space="1" w:color="FB9120"/>
        </w:pBdr>
      </w:pPr>
      <w:r>
        <w:rPr>
          <w:rFonts w:ascii="Calibri" w:hAnsi="Calibri"/>
          <w:b/>
          <w:color w:val="3B4259"/>
          <w:sz w:val="40"/>
        </w:rPr>
        <w:t>6. Peer Commentaries — Read-Throughs (Last 60 Days, Current Quarter)</w:t>
      </w:r>
    </w:p>
    <w:p>
      <w:r>
        <w:rPr>
          <w:rFonts w:ascii="Calibri" w:hAnsi="Calibri"/>
          <w:b/>
          <w:color w:val="525866"/>
          <w:sz w:val="22"/>
        </w:rPr>
        <w:t xml:space="preserve">Key Takeaway: </w:t>
      </w:r>
      <w:r>
        <w:rPr>
          <w:rFonts w:ascii="Calibri" w:hAnsi="Calibri"/>
          <w:color w:val="525866"/>
          <w:sz w:val="22"/>
        </w:rPr>
        <w:t xml:space="preserve">Peer commentary from the last 60 days is broadly positive for DDOG's Q2 setup — </w:t>
      </w:r>
      <w:r>
        <w:rPr>
          <w:rFonts w:ascii="Calibri" w:hAnsi="Calibri"/>
          <w:b/>
          <w:color w:val="525866"/>
          <w:sz w:val="22"/>
        </w:rPr>
        <w:t>AI-driven demand acceleration, platform consolidation tailwinds, and strong enterprise IT spending are consistent themes across CrowdStrike, Palo Alto Networks, Elastic, Snowflake, Atlassian, and ServiceNow</w:t>
      </w:r>
      <w:r>
        <w:rPr>
          <w:rFonts w:ascii="Calibri" w:hAnsi="Calibri"/>
          <w:color w:val="525866"/>
          <w:sz w:val="22"/>
        </w:rPr>
        <w:t>; the most direct read-through is PANW's Chronosphere observability ARR nearly doubling since acquisition, validating the AI-native observability market DDOG is targeting.</w:t>
      </w:r>
    </w:p>
    <w:p>
      <w:r>
        <w:rPr>
          <w:rFonts w:ascii="Calibri" w:hAnsi="Calibri"/>
          <w:i/>
          <w:color w:val="525866"/>
          <w:sz w:val="22"/>
        </w:rPr>
        <w:t>Note: Only commentary from the last 60 days (June–August 2026) about the current reporting period (Q2 FY2026 / calendar Q2 2026) or forward-looking commentary made after Q1 earnings is included. Prior-quarter earnings results commentary is excluded.</w:t>
      </w:r>
    </w:p>
    <w:p>
      <w:pPr>
        <w:pStyle w:val="Heading2"/>
      </w:pPr>
      <w:r>
        <w:rPr>
          <w:rFonts w:ascii="Calibri" w:hAnsi="Calibri"/>
          <w:b/>
          <w:color w:val="3B4259"/>
          <w:sz w:val="28"/>
        </w:rPr>
        <w:t>CrowdStrike (CRWD) — Q1 FY2027 Earnings Call (June 3, 2026)</w:t>
      </w:r>
    </w:p>
    <w:p>
      <w:r>
        <w:rPr>
          <w:rFonts w:ascii="Calibri" w:hAnsi="Calibri"/>
          <w:b/>
          <w:color w:val="525866"/>
          <w:sz w:val="22"/>
        </w:rPr>
        <w:t xml:space="preserve">Read-Through Signal: </w:t>
      </w:r>
      <w:r>
        <w:rPr>
          <w:rFonts w:ascii="Calibri" w:hAnsi="Calibri"/>
          <w:color w:val="525866"/>
          <w:sz w:val="22"/>
        </w:rPr>
        <w:t>Strongly positive for DDOG.</w:t>
      </w:r>
    </w:p>
    <w:p>
      <w:pPr>
        <w:pStyle w:val="ListBullet"/>
        <w:ind w:left="360" w:hanging="360"/>
      </w:pPr>
      <w:r>
        <w:rPr>
          <w:rFonts w:ascii="Calibri" w:hAnsi="Calibri"/>
          <w:b/>
          <w:color w:val="525866"/>
          <w:sz w:val="22"/>
        </w:rPr>
        <w:t xml:space="preserve">AI as critical infrastructure: </w:t>
      </w:r>
      <w:r>
        <w:rPr>
          <w:rFonts w:ascii="Calibri" w:hAnsi="Calibri"/>
          <w:color w:val="525866"/>
          <w:sz w:val="22"/>
        </w:rPr>
        <w:t>CRWD described a "Mythos inflection moment" in April where new frontier model releases connected AI innovation with cybersecurity necessity, driving a surge in enterprise security and observability spending. CEO stated: "CrowdStrike is now being understood as critical AI infrastructure." This framing directly supports DDOG's positioning as mission-critical AI observability infrastructure.</w:t>
      </w:r>
    </w:p>
    <w:p>
      <w:pPr>
        <w:pStyle w:val="ListBullet"/>
        <w:ind w:left="360" w:hanging="360"/>
      </w:pPr>
      <w:r>
        <w:rPr>
          <w:rFonts w:ascii="Calibri" w:hAnsi="Calibri"/>
          <w:b/>
          <w:color w:val="525866"/>
          <w:sz w:val="22"/>
        </w:rPr>
        <w:t xml:space="preserve">Agentic AI driving new demand: </w:t>
      </w:r>
      <w:r>
        <w:rPr>
          <w:rFonts w:ascii="Calibri" w:hAnsi="Calibri"/>
          <w:color w:val="525866"/>
          <w:sz w:val="22"/>
        </w:rPr>
        <w:t>CRWD noted "Wave 2 of AI adoption" (the agentic era) began in Q1 FY2027 (calendar Q2 2026), with agents triggering massive secondary machine-to-machine interactions requiring real-time monitoring and security. This is a direct tailwind for DDOG's LLM observability, Bits AI SRE, and agentic monitoring products.</w:t>
      </w:r>
    </w:p>
    <w:p>
      <w:pPr>
        <w:pStyle w:val="ListBullet"/>
        <w:ind w:left="360" w:hanging="360"/>
      </w:pPr>
      <w:r>
        <w:rPr>
          <w:rFonts w:ascii="Calibri" w:hAnsi="Calibri"/>
          <w:b/>
          <w:color w:val="525866"/>
          <w:sz w:val="22"/>
        </w:rPr>
        <w:t xml:space="preserve">Net new ARR acceleration: </w:t>
      </w:r>
      <w:r>
        <w:rPr>
          <w:rFonts w:ascii="Calibri" w:hAnsi="Calibri"/>
          <w:color w:val="525866"/>
          <w:sz w:val="22"/>
        </w:rPr>
        <w:t>CRWD reported record Q1 net new ARR of $256M (+32% YoY), beating guidance, and raised full-year net new ARR growth expectations by more than 500 bps. This signals robust enterprise IT spending on cloud-native security and observability platforms — the same budget pools DDOG competes for.</w:t>
      </w:r>
    </w:p>
    <w:p>
      <w:pPr>
        <w:pStyle w:val="ListBullet"/>
        <w:ind w:left="360" w:hanging="360"/>
      </w:pPr>
      <w:r>
        <w:rPr>
          <w:rFonts w:ascii="Calibri" w:hAnsi="Calibri"/>
          <w:b/>
          <w:color w:val="525866"/>
          <w:sz w:val="22"/>
        </w:rPr>
        <w:t xml:space="preserve">Cloud security hardening: </w:t>
      </w:r>
      <w:r>
        <w:rPr>
          <w:rFonts w:ascii="Calibri" w:hAnsi="Calibri"/>
          <w:color w:val="525866"/>
          <w:sz w:val="22"/>
        </w:rPr>
        <w:t>"Concern around elevated risk from new frontier models has pushed customers to harden their cloud environments." This enterprise posture of accelerating cloud security and observability investment is a direct read-through for DDOG's security suite and cloud monitoring products.</w:t>
      </w:r>
    </w:p>
    <w:p>
      <w:pPr>
        <w:pStyle w:val="ListBullet"/>
        <w:ind w:left="360" w:hanging="360"/>
      </w:pPr>
      <w:r>
        <w:rPr>
          <w:rFonts w:ascii="Calibri" w:hAnsi="Calibri"/>
          <w:b/>
          <w:color w:val="525866"/>
          <w:sz w:val="22"/>
        </w:rPr>
        <w:t xml:space="preserve">Next-gen SIEM &gt;$600M ARR: </w:t>
      </w:r>
      <w:r>
        <w:rPr>
          <w:rFonts w:ascii="Calibri" w:hAnsi="Calibri"/>
          <w:color w:val="525866"/>
          <w:sz w:val="22"/>
        </w:rPr>
        <w:t>CRWD's next-gen SIEM exceeded $600M in ending ARR, validating the large and growing market for AI-powered security analytics — a space DDOG is entering with Cloud SIEM and its Bits AI Security Agent.</w:t>
      </w:r>
    </w:p>
    <w:p>
      <w:pPr>
        <w:pStyle w:val="Heading2"/>
      </w:pPr>
      <w:r>
        <w:rPr>
          <w:rFonts w:ascii="Calibri" w:hAnsi="Calibri"/>
          <w:b/>
          <w:color w:val="3B4259"/>
          <w:sz w:val="28"/>
        </w:rPr>
        <w:t>Palo Alto Networks (PANW) — Q3 FY2026 Earnings Call (June 2, 2026)</w:t>
      </w:r>
    </w:p>
    <w:p>
      <w:r>
        <w:rPr>
          <w:rFonts w:ascii="Calibri" w:hAnsi="Calibri"/>
          <w:b/>
          <w:color w:val="525866"/>
          <w:sz w:val="22"/>
        </w:rPr>
        <w:t xml:space="preserve">Read-Through Signal: </w:t>
      </w:r>
      <w:r>
        <w:rPr>
          <w:rFonts w:ascii="Calibri" w:hAnsi="Calibri"/>
          <w:color w:val="525866"/>
          <w:sz w:val="22"/>
        </w:rPr>
        <w:t>Positive for DDOG, with a direct observability data point.</w:t>
      </w:r>
    </w:p>
    <w:p>
      <w:pPr>
        <w:pStyle w:val="ListBullet"/>
        <w:ind w:left="360" w:hanging="360"/>
      </w:pPr>
      <w:r>
        <w:rPr>
          <w:rFonts w:ascii="Calibri" w:hAnsi="Calibri"/>
          <w:b/>
          <w:color w:val="525866"/>
          <w:sz w:val="22"/>
        </w:rPr>
        <w:t xml:space="preserve">Chronosphere observability ARR &gt;$300M, nearly doubling: </w:t>
      </w:r>
      <w:r>
        <w:rPr>
          <w:rFonts w:ascii="Calibri" w:hAnsi="Calibri"/>
          <w:color w:val="525866"/>
          <w:sz w:val="22"/>
        </w:rPr>
        <w:t>PANW's acquired observability platform (Chronosphere) surpassed $300M in ARR in Q3, nearly doubling since the acquisition announcement last autumn, with over 50% sequential growth. This validates the AI-native observability market DDOG is targeting and confirms that frontier AI labs (including two of the top 5) are actively adopting dedicated observability platforms. Importantly, PANW noted Chronosphere is "particularly good at AI-native platforms" — the same customer segment where DDOG is seeing its fastest growth.</w:t>
      </w:r>
    </w:p>
    <w:p>
      <w:pPr>
        <w:pStyle w:val="ListBullet"/>
        <w:ind w:left="360" w:hanging="360"/>
      </w:pPr>
      <w:r>
        <w:rPr>
          <w:rFonts w:ascii="Calibri" w:hAnsi="Calibri"/>
          <w:b/>
          <w:color w:val="525866"/>
          <w:sz w:val="22"/>
        </w:rPr>
        <w:t xml:space="preserve">AI training workloads driving observability demand: </w:t>
      </w:r>
      <w:r>
        <w:rPr>
          <w:rFonts w:ascii="Calibri" w:hAnsi="Calibri"/>
          <w:color w:val="525866"/>
          <w:sz w:val="22"/>
        </w:rPr>
        <w:t>PANW surpassed $200M in ARR with a leading frontier AI lab "for observability across its most demanding training and inference clusters." This directly validates DDOG's Q1 disclosure of landing two hyperscaler AI research divisions for GPU monitoring on training workloads — the market is real and growing.</w:t>
      </w:r>
    </w:p>
    <w:p>
      <w:pPr>
        <w:pStyle w:val="ListBullet"/>
        <w:ind w:left="360" w:hanging="360"/>
      </w:pPr>
      <w:r>
        <w:rPr>
          <w:rFonts w:ascii="Calibri" w:hAnsi="Calibri"/>
          <w:b/>
          <w:color w:val="525866"/>
          <w:sz w:val="22"/>
        </w:rPr>
        <w:t xml:space="preserve">Agentic AI creating structural demand: </w:t>
      </w:r>
      <w:r>
        <w:rPr>
          <w:rFonts w:ascii="Calibri" w:hAnsi="Calibri"/>
          <w:color w:val="525866"/>
          <w:sz w:val="22"/>
        </w:rPr>
        <w:t>PANW described agentic AI as creating "a surge in nonstop high-volume traffic that must be secured at runtime," driving demand for unified platform monitoring. This is a direct tailwind for DDOG's integrated observability + security platform strategy.</w:t>
      </w:r>
    </w:p>
    <w:p>
      <w:pPr>
        <w:pStyle w:val="ListBullet"/>
        <w:ind w:left="360" w:hanging="360"/>
      </w:pPr>
      <w:r>
        <w:rPr>
          <w:rFonts w:ascii="Calibri" w:hAnsi="Calibri"/>
          <w:b/>
          <w:color w:val="525866"/>
          <w:sz w:val="22"/>
        </w:rPr>
        <w:t xml:space="preserve">Record Q3 performance, raised FY2026 guidance: </w:t>
      </w:r>
      <w:r>
        <w:rPr>
          <w:rFonts w:ascii="Calibri" w:hAnsi="Calibri"/>
          <w:color w:val="525866"/>
          <w:sz w:val="22"/>
        </w:rPr>
        <w:t>PANW raised full-year FY2026 guidance across all metrics, citing "acceleration in organic bookings momentum" and "surging cybersecurity needs as AI transitions from experimental stages to enterprise-wide production." The macro spending environment for cloud observability and security is clearly accelerating.</w:t>
      </w:r>
    </w:p>
    <w:p>
      <w:pPr>
        <w:pStyle w:val="ListBullet"/>
        <w:ind w:left="360" w:hanging="360"/>
      </w:pPr>
      <w:r>
        <w:rPr>
          <w:rFonts w:ascii="Calibri" w:hAnsi="Calibri"/>
          <w:b/>
          <w:color w:val="525866"/>
          <w:sz w:val="22"/>
        </w:rPr>
        <w:t xml:space="preserve">Competitive nuance: </w:t>
      </w:r>
      <w:r>
        <w:rPr>
          <w:rFonts w:ascii="Calibri" w:hAnsi="Calibri"/>
          <w:color w:val="525866"/>
          <w:sz w:val="22"/>
        </w:rPr>
        <w:t>PANW noted observability and security are "specialized environments" requiring excellence independently, but that data collected for observability will become valuable as a security sensor. This validates DDOG's integrated platform strategy but also signals PANW is building toward the same convergence — a medium-term competitive watch item.</w:t>
      </w:r>
    </w:p>
    <w:p>
      <w:pPr>
        <w:pStyle w:val="Heading2"/>
      </w:pPr>
      <w:r>
        <w:rPr>
          <w:rFonts w:ascii="Calibri" w:hAnsi="Calibri"/>
          <w:b/>
          <w:color w:val="3B4259"/>
          <w:sz w:val="28"/>
        </w:rPr>
        <w:t>Elastic (ESTC) — BofA Global Technology Conference (June 4, 2026)</w:t>
      </w:r>
    </w:p>
    <w:p>
      <w:r>
        <w:rPr>
          <w:rFonts w:ascii="Calibri" w:hAnsi="Calibri"/>
          <w:b/>
          <w:color w:val="525866"/>
          <w:sz w:val="22"/>
        </w:rPr>
        <w:t xml:space="preserve">Read-Through Signal: </w:t>
      </w:r>
      <w:r>
        <w:rPr>
          <w:rFonts w:ascii="Calibri" w:hAnsi="Calibri"/>
          <w:color w:val="525866"/>
          <w:sz w:val="22"/>
        </w:rPr>
        <w:t>Modestly positive for DDOG; validates observability market growth but also signals competitive intensity.</w:t>
      </w:r>
    </w:p>
    <w:p>
      <w:pPr>
        <w:pStyle w:val="ListBullet"/>
        <w:ind w:left="360" w:hanging="360"/>
      </w:pPr>
      <w:r>
        <w:rPr>
          <w:rFonts w:ascii="Calibri" w:hAnsi="Calibri"/>
          <w:b/>
          <w:color w:val="525866"/>
          <w:sz w:val="22"/>
        </w:rPr>
        <w:t xml:space="preserve">Record bookings momentum: </w:t>
      </w:r>
      <w:r>
        <w:rPr>
          <w:rFonts w:ascii="Calibri" w:hAnsi="Calibri"/>
          <w:color w:val="525866"/>
          <w:sz w:val="22"/>
        </w:rPr>
        <w:t>ESTC reported cRPO grew 20% and RPO grew 28%, with cRPO accelerating 5 points on a constant-currency basis QoQ — described as "tremendous momentum" and "a record quarter over the last couple of years in terms of growth and commitments." This signals strong enterprise demand for observability and search platforms in the current quarter.</w:t>
      </w:r>
    </w:p>
    <w:p>
      <w:pPr>
        <w:pStyle w:val="ListBullet"/>
        <w:ind w:left="360" w:hanging="360"/>
      </w:pPr>
      <w:r>
        <w:rPr>
          <w:rFonts w:ascii="Calibri" w:hAnsi="Calibri"/>
          <w:b/>
          <w:color w:val="525866"/>
          <w:sz w:val="22"/>
        </w:rPr>
        <w:t xml:space="preserve">Metrics/infrastructure monitoring fastest-growing observability segment: </w:t>
      </w:r>
      <w:r>
        <w:rPr>
          <w:rFonts w:ascii="Calibri" w:hAnsi="Calibri"/>
          <w:color w:val="525866"/>
          <w:sz w:val="22"/>
        </w:rPr>
        <w:t>ESTC noted that "metrics and infrastructure monitoring has probably been the fastest-growing part of the observability market" — directly validating DDOG's core infrastructure monitoring business (&gt;$1B ARR) and the continued expansion of the addressable market.</w:t>
      </w:r>
    </w:p>
    <w:p>
      <w:pPr>
        <w:pStyle w:val="ListBullet"/>
        <w:ind w:left="360" w:hanging="360"/>
      </w:pPr>
      <w:r>
        <w:rPr>
          <w:rFonts w:ascii="Calibri" w:hAnsi="Calibri"/>
          <w:b/>
          <w:color w:val="525866"/>
          <w:sz w:val="22"/>
        </w:rPr>
        <w:t xml:space="preserve">AI adoption accelerating: </w:t>
      </w:r>
      <w:r>
        <w:rPr>
          <w:rFonts w:ascii="Calibri" w:hAnsi="Calibri"/>
          <w:color w:val="525866"/>
          <w:sz w:val="22"/>
        </w:rPr>
        <w:t>600 of ESTC's 100,000+ customers now using AI capabilities, described as "a pretty big step up from the prior quarter." ESTC is seeing AI drive new monetization vectors (token usage, workflow executions, conversation turns) — the same consumption-based AI monetization model DDOG is building toward.</w:t>
      </w:r>
    </w:p>
    <w:p>
      <w:pPr>
        <w:pStyle w:val="ListBullet"/>
        <w:ind w:left="360" w:hanging="360"/>
      </w:pPr>
      <w:r>
        <w:rPr>
          <w:rFonts w:ascii="Calibri" w:hAnsi="Calibri"/>
          <w:b/>
          <w:color w:val="525866"/>
          <w:sz w:val="22"/>
        </w:rPr>
        <w:t xml:space="preserve">Tool consolidation driving demand: </w:t>
      </w:r>
      <w:r>
        <w:rPr>
          <w:rFonts w:ascii="Calibri" w:hAnsi="Calibri"/>
          <w:color w:val="525866"/>
          <w:sz w:val="22"/>
        </w:rPr>
        <w:t>"Some customers were pushing us because they were wanting to consolidate tools" for metrics, tracing, and logs. This platform consolidation trend is a core DDOG thesis driver and validates the multi-product attach rate strategy.</w:t>
      </w:r>
    </w:p>
    <w:p>
      <w:pPr>
        <w:pStyle w:val="ListBullet"/>
        <w:ind w:left="360" w:hanging="360"/>
      </w:pPr>
      <w:r>
        <w:rPr>
          <w:rFonts w:ascii="Calibri" w:hAnsi="Calibri"/>
          <w:b/>
          <w:color w:val="525866"/>
          <w:sz w:val="22"/>
        </w:rPr>
        <w:t xml:space="preserve">FedRAMP High certification driving government wins: </w:t>
      </w:r>
      <w:r>
        <w:rPr>
          <w:rFonts w:ascii="Calibri" w:hAnsi="Calibri"/>
          <w:color w:val="525866"/>
          <w:sz w:val="22"/>
        </w:rPr>
        <w:t>ESTC won the CISA SIEM-as-a-Service deal after upgrading to FedRAMP High. This is a direct read-through for DDOG, which also recently achieved FedRAMP High certification and is targeting federal expansion as a new growth vector.</w:t>
      </w:r>
    </w:p>
    <w:p>
      <w:pPr>
        <w:pStyle w:val="Heading2"/>
      </w:pPr>
      <w:r>
        <w:rPr>
          <w:rFonts w:ascii="Calibri" w:hAnsi="Calibri"/>
          <w:b/>
          <w:color w:val="3B4259"/>
          <w:sz w:val="28"/>
        </w:rPr>
        <w:t>Snowflake (SNOW) — Investor Day (June 2, 2026)</w:t>
      </w:r>
    </w:p>
    <w:p>
      <w:r>
        <w:rPr>
          <w:rFonts w:ascii="Calibri" w:hAnsi="Calibri"/>
          <w:b/>
          <w:color w:val="525866"/>
          <w:sz w:val="22"/>
        </w:rPr>
        <w:t xml:space="preserve">Read-Through Signal: </w:t>
      </w:r>
      <w:r>
        <w:rPr>
          <w:rFonts w:ascii="Calibri" w:hAnsi="Calibri"/>
          <w:color w:val="525866"/>
          <w:sz w:val="22"/>
        </w:rPr>
        <w:t>Positive for DDOG; validates AI-driven cloud spending acceleration and enterprise platform consolidation.</w:t>
      </w:r>
    </w:p>
    <w:p>
      <w:pPr>
        <w:pStyle w:val="ListBullet"/>
        <w:ind w:left="360" w:hanging="360"/>
      </w:pPr>
      <w:r>
        <w:rPr>
          <w:rFonts w:ascii="Calibri" w:hAnsi="Calibri"/>
          <w:b/>
          <w:color w:val="525866"/>
          <w:sz w:val="22"/>
        </w:rPr>
        <w:t xml:space="preserve">AI accelerating cloud consumption: </w:t>
      </w:r>
      <w:r>
        <w:rPr>
          <w:rFonts w:ascii="Calibri" w:hAnsi="Calibri"/>
          <w:color w:val="525866"/>
          <w:sz w:val="22"/>
        </w:rPr>
        <w:t>SNOW noted that customers using its AI coding assistant (CoCo) "get more consumption anyway because they just do a whole lot more" — validating DDOG's thesis that agentic coding tools drive incremental observability demand as developers ship more applications faster.</w:t>
      </w:r>
    </w:p>
    <w:p>
      <w:pPr>
        <w:pStyle w:val="ListBullet"/>
        <w:ind w:left="360" w:hanging="360"/>
      </w:pPr>
      <w:r>
        <w:rPr>
          <w:rFonts w:ascii="Calibri" w:hAnsi="Calibri"/>
          <w:b/>
          <w:color w:val="525866"/>
          <w:sz w:val="22"/>
        </w:rPr>
        <w:t xml:space="preserve">Sales cycles accelerating: </w:t>
      </w:r>
      <w:r>
        <w:rPr>
          <w:rFonts w:ascii="Calibri" w:hAnsi="Calibri"/>
          <w:color w:val="525866"/>
          <w:sz w:val="22"/>
        </w:rPr>
        <w:t>"The average days sales cycle for this last quarter was the lowest in the last 4 quarters." Shorter enterprise sales cycles are a positive read-through for DDOG's new logo bookings momentum (which set an all-time record in Q1).</w:t>
      </w:r>
    </w:p>
    <w:p>
      <w:pPr>
        <w:pStyle w:val="ListBullet"/>
        <w:ind w:left="360" w:hanging="360"/>
      </w:pPr>
      <w:r>
        <w:rPr>
          <w:rFonts w:ascii="Calibri" w:hAnsi="Calibri"/>
          <w:b/>
          <w:color w:val="525866"/>
          <w:sz w:val="22"/>
        </w:rPr>
        <w:t xml:space="preserve">Migrations accelerating 40%: </w:t>
      </w:r>
      <w:r>
        <w:rPr>
          <w:rFonts w:ascii="Calibri" w:hAnsi="Calibri"/>
          <w:color w:val="525866"/>
          <w:sz w:val="22"/>
        </w:rPr>
        <w:t>SNOW reported a 40% improvement in migration velocity, with new logo ACV and total contract value both increasing significantly YoY. This cloud migration acceleration is a secular tailwind for DDOG's infrastructure monitoring and APM businesses.</w:t>
      </w:r>
    </w:p>
    <w:p>
      <w:pPr>
        <w:pStyle w:val="ListBullet"/>
        <w:ind w:left="360" w:hanging="360"/>
      </w:pPr>
      <w:r>
        <w:rPr>
          <w:rFonts w:ascii="Calibri" w:hAnsi="Calibri"/>
          <w:b/>
          <w:color w:val="525866"/>
          <w:sz w:val="22"/>
        </w:rPr>
        <w:t xml:space="preserve">Observability identified as disruption opportunity: </w:t>
      </w:r>
      <w:r>
        <w:rPr>
          <w:rFonts w:ascii="Calibri" w:hAnsi="Calibri"/>
          <w:color w:val="525866"/>
          <w:sz w:val="22"/>
        </w:rPr>
        <w:t>SNOW's CEO identified "areas like observability or data-intensive problems that are ripe for disruption from people willing to think from first principles." While this signals SNOW's interest in the observability space, it also validates the market's strategic importance and the premium customers are willing to pay for best-in-class solutions.</w:t>
      </w:r>
    </w:p>
    <w:p>
      <w:pPr>
        <w:pStyle w:val="ListBullet"/>
        <w:ind w:left="360" w:hanging="360"/>
      </w:pPr>
      <w:r>
        <w:rPr>
          <w:rFonts w:ascii="Calibri" w:hAnsi="Calibri"/>
          <w:b/>
          <w:color w:val="525866"/>
          <w:sz w:val="22"/>
        </w:rPr>
        <w:t xml:space="preserve">Enterprise spending expanding: </w:t>
      </w:r>
      <w:r>
        <w:rPr>
          <w:rFonts w:ascii="Calibri" w:hAnsi="Calibri"/>
          <w:color w:val="525866"/>
          <w:sz w:val="22"/>
        </w:rPr>
        <w:t>Top 25 large customers now spend $34M/year on average (up from $22M two years ago), and Fortune 2000 customers average only $2.4M — signaling massive expansion headroom. This enterprise wallet-share expansion dynamic mirrors DDOG's own land-and-expand model.</w:t>
      </w:r>
    </w:p>
    <w:p>
      <w:pPr>
        <w:pStyle w:val="Heading2"/>
      </w:pPr>
      <w:r>
        <w:rPr>
          <w:rFonts w:ascii="Calibri" w:hAnsi="Calibri"/>
          <w:b/>
          <w:color w:val="3B4259"/>
          <w:sz w:val="28"/>
        </w:rPr>
        <w:t>Atlassian (TEAM) — BofA Global Technology Conference (June 2, 2026)</w:t>
      </w:r>
    </w:p>
    <w:p>
      <w:r>
        <w:rPr>
          <w:rFonts w:ascii="Calibri" w:hAnsi="Calibri"/>
          <w:b/>
          <w:color w:val="525866"/>
          <w:sz w:val="22"/>
        </w:rPr>
        <w:t xml:space="preserve">Read-Through Signal: </w:t>
      </w:r>
      <w:r>
        <w:rPr>
          <w:rFonts w:ascii="Calibri" w:hAnsi="Calibri"/>
          <w:color w:val="525866"/>
          <w:sz w:val="22"/>
        </w:rPr>
        <w:t>Positive for DDOG; validates AI-driven platform expansion and enterprise multi-product adoption.</w:t>
      </w:r>
    </w:p>
    <w:p>
      <w:pPr>
        <w:pStyle w:val="ListBullet"/>
        <w:ind w:left="360" w:hanging="360"/>
      </w:pPr>
      <w:r>
        <w:rPr>
          <w:rFonts w:ascii="Calibri" w:hAnsi="Calibri"/>
          <w:b/>
          <w:color w:val="525866"/>
          <w:sz w:val="22"/>
        </w:rPr>
        <w:t xml:space="preserve">AI as net beneficiary: </w:t>
      </w:r>
      <w:r>
        <w:rPr>
          <w:rFonts w:ascii="Calibri" w:hAnsi="Calibri"/>
          <w:color w:val="525866"/>
          <w:sz w:val="22"/>
        </w:rPr>
        <w:t>TEAM described itself as a "net beneficiary of AI," noting that AI will "drive down the barrier to entry for coding, creating more innovation, more software, and as a result the need for more collaboration and workflows." This directly validates DDOG's thesis that agentic coding tools create incremental observability demand.</w:t>
      </w:r>
    </w:p>
    <w:p>
      <w:pPr>
        <w:pStyle w:val="ListBullet"/>
        <w:ind w:left="360" w:hanging="360"/>
      </w:pPr>
      <w:r>
        <w:rPr>
          <w:rFonts w:ascii="Calibri" w:hAnsi="Calibri"/>
          <w:b/>
          <w:color w:val="525866"/>
          <w:sz w:val="22"/>
        </w:rPr>
        <w:t xml:space="preserve">Cloud adoption driving 3-4x spend increase: </w:t>
      </w:r>
      <w:r>
        <w:rPr>
          <w:rFonts w:ascii="Calibri" w:hAnsi="Calibri"/>
          <w:color w:val="525866"/>
          <w:sz w:val="22"/>
        </w:rPr>
        <w:t>Customers who migrated to the cloud "tripled or quadrupled their spend with Atlassian" over 3 years, expanding from 3 to 9 products. This cloud migration → multi-product expansion dynamic is the same model DDOG operates on.</w:t>
      </w:r>
    </w:p>
    <w:p>
      <w:pPr>
        <w:pStyle w:val="ListBullet"/>
        <w:ind w:left="360" w:hanging="360"/>
      </w:pPr>
      <w:r>
        <w:rPr>
          <w:rFonts w:ascii="Calibri" w:hAnsi="Calibri"/>
          <w:b/>
          <w:color w:val="525866"/>
          <w:sz w:val="22"/>
        </w:rPr>
        <w:t xml:space="preserve">ARR growing &gt;20% and reaccelerating: </w:t>
      </w:r>
      <w:r>
        <w:rPr>
          <w:rFonts w:ascii="Calibri" w:hAnsi="Calibri"/>
          <w:color w:val="525866"/>
          <w:sz w:val="22"/>
        </w:rPr>
        <w:t>TEAM reported ARR growing north of 20% and reaccelerating, with the $1M+ customer cohort growing 39% YoY and the $3M+ cohort growing 54% YoY. Strong enterprise software spending momentum is a positive read-through for DDOG's enterprise cohort.</w:t>
      </w:r>
    </w:p>
    <w:p>
      <w:pPr>
        <w:pStyle w:val="ListBullet"/>
        <w:ind w:left="360" w:hanging="360"/>
      </w:pPr>
      <w:r>
        <w:rPr>
          <w:rFonts w:ascii="Calibri" w:hAnsi="Calibri"/>
          <w:b/>
          <w:color w:val="525866"/>
          <w:sz w:val="22"/>
        </w:rPr>
        <w:t xml:space="preserve">MCP adoption driving consumption: </w:t>
      </w:r>
      <w:r>
        <w:rPr>
          <w:rFonts w:ascii="Calibri" w:hAnsi="Calibri"/>
          <w:color w:val="525866"/>
          <w:sz w:val="22"/>
        </w:rPr>
        <w:t>MCP users growing at 2x the rate, with objects written to the Teamwork Graph via MCP growing 100% month-over-month. DDOG's own MCP server (launched GA in March 2026) saw tool calls quadruple QoQ in Q1 — this validates the MCP ecosystem as a genuine consumption driver.</w:t>
      </w:r>
    </w:p>
    <w:p>
      <w:pPr>
        <w:pStyle w:val="Heading2"/>
      </w:pPr>
      <w:r>
        <w:rPr>
          <w:rFonts w:ascii="Calibri" w:hAnsi="Calibri"/>
          <w:b/>
          <w:color w:val="3B4259"/>
          <w:sz w:val="28"/>
        </w:rPr>
        <w:t>ServiceNow (NOW) — Evercore TMT Global Conference (June 3, 2026)</w:t>
      </w:r>
    </w:p>
    <w:p>
      <w:r>
        <w:rPr>
          <w:rFonts w:ascii="Calibri" w:hAnsi="Calibri"/>
          <w:b/>
          <w:color w:val="525866"/>
          <w:sz w:val="22"/>
        </w:rPr>
        <w:t xml:space="preserve">Read-Through Signal: </w:t>
      </w:r>
      <w:r>
        <w:rPr>
          <w:rFonts w:ascii="Calibri" w:hAnsi="Calibri"/>
          <w:color w:val="525866"/>
          <w:sz w:val="22"/>
        </w:rPr>
        <w:t>Modestly positive for DDOG; validates AI data infrastructure spending but limited direct observability read-through.</w:t>
      </w:r>
    </w:p>
    <w:p>
      <w:pPr>
        <w:pStyle w:val="ListBullet"/>
        <w:ind w:left="360" w:hanging="360"/>
      </w:pPr>
      <w:r>
        <w:rPr>
          <w:rFonts w:ascii="Calibri" w:hAnsi="Calibri"/>
          <w:b/>
          <w:color w:val="525866"/>
          <w:sz w:val="22"/>
        </w:rPr>
        <w:t xml:space="preserve">Data &amp; Analytics on track for $1B+ ARR: </w:t>
      </w:r>
      <w:r>
        <w:rPr>
          <w:rFonts w:ascii="Calibri" w:hAnsi="Calibri"/>
          <w:color w:val="525866"/>
          <w:sz w:val="22"/>
        </w:rPr>
        <w:t>NOW's Data and Analytics business is "on track to break $1 billion plus in ARR in just a few quarters" and is "one of the fastest-growing businesses ever in ServiceNow's history." This validates the enterprise appetite for integrated data and analytics platforms — a market DDOG is expanding into with its observability data platform.</w:t>
      </w:r>
    </w:p>
    <w:p>
      <w:pPr>
        <w:pStyle w:val="ListBullet"/>
        <w:ind w:left="360" w:hanging="360"/>
      </w:pPr>
      <w:r>
        <w:rPr>
          <w:rFonts w:ascii="Calibri" w:hAnsi="Calibri"/>
          <w:b/>
          <w:color w:val="525866"/>
          <w:sz w:val="22"/>
        </w:rPr>
        <w:t xml:space="preserve">AI readiness driving urgency: </w:t>
      </w:r>
      <w:r>
        <w:rPr>
          <w:rFonts w:ascii="Calibri" w:hAnsi="Calibri"/>
          <w:color w:val="525866"/>
          <w:sz w:val="22"/>
        </w:rPr>
        <w:t>"The need to get your data estate ready for AI is the why-now motivator" — CIOs and CEOs are demanding data cleanup "yesterday." This urgency to modernize data infrastructure is a tailwind for DDOG's platform consolidation thesis.</w:t>
      </w:r>
    </w:p>
    <w:p>
      <w:pPr>
        <w:pStyle w:val="ListBullet"/>
        <w:ind w:left="360" w:hanging="360"/>
      </w:pPr>
      <w:r>
        <w:rPr>
          <w:rFonts w:ascii="Calibri" w:hAnsi="Calibri"/>
          <w:b/>
          <w:color w:val="525866"/>
          <w:sz w:val="22"/>
        </w:rPr>
        <w:t xml:space="preserve">Agentic AI creating new monitoring requirements: </w:t>
      </w:r>
      <w:r>
        <w:rPr>
          <w:rFonts w:ascii="Calibri" w:hAnsi="Calibri"/>
          <w:color w:val="525866"/>
          <w:sz w:val="22"/>
        </w:rPr>
        <w:t>NOW noted that "the path to agentic AI heaven goes through some form of data hell" — enterprises need governance, security, and observability of AI agents. This validates DDOG's Bits AI suite and agentic monitoring products as addressing a real and urgent enterprise need.</w:t>
      </w:r>
    </w:p>
    <w:p>
      <w:pPr>
        <w:pStyle w:val="Heading2"/>
      </w:pPr>
      <w:r>
        <w:rPr>
          <w:rFonts w:ascii="Calibri" w:hAnsi="Calibri"/>
          <w:b/>
          <w:color w:val="3B4259"/>
          <w:sz w:val="28"/>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Event / Date</w:t>
            </w:r>
          </w:p>
        </w:tc>
        <w:tc>
          <w:tcPr>
            <w:tcW w:type="dxa" w:w="2160"/>
            <w:shd w:val="clear" w:color="auto" w:fill="3B4259"/>
          </w:tcPr>
          <w:p>
            <w:r>
              <w:rPr>
                <w:rFonts w:ascii="Calibri" w:hAnsi="Calibri"/>
                <w:b/>
                <w:color w:val="FFFFFF"/>
                <w:sz w:val="22"/>
              </w:rPr>
              <w:t>Key Read-Through for DDOG</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CrowdStrike (CRWD)</w:t>
            </w:r>
          </w:p>
        </w:tc>
        <w:tc>
          <w:tcPr>
            <w:tcW w:type="dxa" w:w="2160"/>
          </w:tcPr>
          <w:p>
            <w:r>
              <w:rPr>
                <w:rFonts w:ascii="Calibri" w:hAnsi="Calibri"/>
                <w:sz w:val="22"/>
              </w:rPr>
              <w:t>Q1 FY2027 Earnings, Jun 3</w:t>
            </w:r>
          </w:p>
        </w:tc>
        <w:tc>
          <w:tcPr>
            <w:tcW w:type="dxa" w:w="2160"/>
          </w:tcPr>
          <w:p>
            <w:r>
              <w:rPr>
                <w:rFonts w:ascii="Calibri" w:hAnsi="Calibri"/>
                <w:sz w:val="22"/>
              </w:rPr>
              <w:t>AI as critical infrastructure; agentic AI driving new demand; net new ARR +32% YoY; cloud security hardening accelerating</w:t>
            </w:r>
          </w:p>
        </w:tc>
        <w:tc>
          <w:tcPr>
            <w:tcW w:type="dxa" w:w="2160"/>
          </w:tcPr>
          <w:p>
            <w:r>
              <w:rPr>
                <w:rFonts w:ascii="Calibri" w:hAnsi="Calibri"/>
                <w:b/>
                <w:color w:val="30A46C"/>
                <w:sz w:val="22"/>
              </w:rPr>
              <w:t>Strongly Positive</w:t>
            </w:r>
          </w:p>
        </w:tc>
      </w:tr>
      <w:tr>
        <w:tc>
          <w:tcPr>
            <w:tcW w:type="dxa" w:w="2160"/>
          </w:tcPr>
          <w:p>
            <w:r>
              <w:rPr>
                <w:rFonts w:ascii="Calibri" w:hAnsi="Calibri"/>
                <w:sz w:val="22"/>
              </w:rPr>
              <w:t>Palo Alto Networks (PANW)</w:t>
            </w:r>
          </w:p>
        </w:tc>
        <w:tc>
          <w:tcPr>
            <w:tcW w:type="dxa" w:w="2160"/>
          </w:tcPr>
          <w:p>
            <w:r>
              <w:rPr>
                <w:rFonts w:ascii="Calibri" w:hAnsi="Calibri"/>
                <w:sz w:val="22"/>
              </w:rPr>
              <w:t>Q3 FY2026 Earnings, Jun 2</w:t>
            </w:r>
          </w:p>
        </w:tc>
        <w:tc>
          <w:tcPr>
            <w:tcW w:type="dxa" w:w="2160"/>
          </w:tcPr>
          <w:p>
            <w:r>
              <w:rPr>
                <w:rFonts w:ascii="Calibri" w:hAnsi="Calibri"/>
                <w:sz w:val="22"/>
              </w:rPr>
              <w:t>Chronosphere observability ARR &gt;$300M (nearly doubled); AI training workload observability validated; raised FY2026 guidance</w:t>
            </w:r>
          </w:p>
        </w:tc>
        <w:tc>
          <w:tcPr>
            <w:tcW w:type="dxa" w:w="2160"/>
          </w:tcPr>
          <w:p>
            <w:r>
              <w:rPr>
                <w:rFonts w:ascii="Calibri" w:hAnsi="Calibri"/>
                <w:b/>
                <w:color w:val="30A46C"/>
                <w:sz w:val="22"/>
              </w:rPr>
              <w:t>Positive</w:t>
            </w:r>
          </w:p>
        </w:tc>
      </w:tr>
      <w:tr>
        <w:tc>
          <w:tcPr>
            <w:tcW w:type="dxa" w:w="2160"/>
          </w:tcPr>
          <w:p>
            <w:r>
              <w:rPr>
                <w:rFonts w:ascii="Calibri" w:hAnsi="Calibri"/>
                <w:sz w:val="22"/>
              </w:rPr>
              <w:t>Elastic (ESTC)</w:t>
            </w:r>
          </w:p>
        </w:tc>
        <w:tc>
          <w:tcPr>
            <w:tcW w:type="dxa" w:w="2160"/>
          </w:tcPr>
          <w:p>
            <w:r>
              <w:rPr>
                <w:rFonts w:ascii="Calibri" w:hAnsi="Calibri"/>
                <w:sz w:val="22"/>
              </w:rPr>
              <w:t>BofA Tech Conf, Jun 4</w:t>
            </w:r>
          </w:p>
        </w:tc>
        <w:tc>
          <w:tcPr>
            <w:tcW w:type="dxa" w:w="2160"/>
          </w:tcPr>
          <w:p>
            <w:r>
              <w:rPr>
                <w:rFonts w:ascii="Calibri" w:hAnsi="Calibri"/>
                <w:sz w:val="22"/>
              </w:rPr>
              <w:t>Record bookings; infra monitoring fastest-growing observability segment; FedRAMP High win validates federal opportunity</w:t>
            </w:r>
          </w:p>
        </w:tc>
        <w:tc>
          <w:tcPr>
            <w:tcW w:type="dxa" w:w="2160"/>
          </w:tcPr>
          <w:p>
            <w:r>
              <w:rPr>
                <w:rFonts w:ascii="Calibri" w:hAnsi="Calibri"/>
                <w:sz w:val="22"/>
              </w:rPr>
              <w:t>Modestly Positive</w:t>
            </w:r>
          </w:p>
        </w:tc>
      </w:tr>
      <w:tr>
        <w:tc>
          <w:tcPr>
            <w:tcW w:type="dxa" w:w="2160"/>
          </w:tcPr>
          <w:p>
            <w:r>
              <w:rPr>
                <w:rFonts w:ascii="Calibri" w:hAnsi="Calibri"/>
                <w:sz w:val="22"/>
              </w:rPr>
              <w:t>Snowflake (SNOW)</w:t>
            </w:r>
          </w:p>
        </w:tc>
        <w:tc>
          <w:tcPr>
            <w:tcW w:type="dxa" w:w="2160"/>
          </w:tcPr>
          <w:p>
            <w:r>
              <w:rPr>
                <w:rFonts w:ascii="Calibri" w:hAnsi="Calibri"/>
                <w:sz w:val="22"/>
              </w:rPr>
              <w:t>Investor Day, Jun 2</w:t>
            </w:r>
          </w:p>
        </w:tc>
        <w:tc>
          <w:tcPr>
            <w:tcW w:type="dxa" w:w="2160"/>
          </w:tcPr>
          <w:p>
            <w:r>
              <w:rPr>
                <w:rFonts w:ascii="Calibri" w:hAnsi="Calibri"/>
                <w:sz w:val="22"/>
              </w:rPr>
              <w:t>AI accelerating cloud consumption; sales cycles at 4-quarter low; migrations +40%; enterprise wallet share expanding</w:t>
            </w:r>
          </w:p>
        </w:tc>
        <w:tc>
          <w:tcPr>
            <w:tcW w:type="dxa" w:w="2160"/>
          </w:tcPr>
          <w:p>
            <w:r>
              <w:rPr>
                <w:rFonts w:ascii="Calibri" w:hAnsi="Calibri"/>
                <w:b/>
                <w:color w:val="30A46C"/>
                <w:sz w:val="22"/>
              </w:rPr>
              <w:t>Positive</w:t>
            </w:r>
          </w:p>
        </w:tc>
      </w:tr>
      <w:tr>
        <w:tc>
          <w:tcPr>
            <w:tcW w:type="dxa" w:w="2160"/>
          </w:tcPr>
          <w:p>
            <w:r>
              <w:rPr>
                <w:rFonts w:ascii="Calibri" w:hAnsi="Calibri"/>
                <w:sz w:val="22"/>
              </w:rPr>
              <w:t>Atlassian (TEAM)</w:t>
            </w:r>
          </w:p>
        </w:tc>
        <w:tc>
          <w:tcPr>
            <w:tcW w:type="dxa" w:w="2160"/>
          </w:tcPr>
          <w:p>
            <w:r>
              <w:rPr>
                <w:rFonts w:ascii="Calibri" w:hAnsi="Calibri"/>
                <w:sz w:val="22"/>
              </w:rPr>
              <w:t>BofA Tech Conf, Jun 2</w:t>
            </w:r>
          </w:p>
        </w:tc>
        <w:tc>
          <w:tcPr>
            <w:tcW w:type="dxa" w:w="2160"/>
          </w:tcPr>
          <w:p>
            <w:r>
              <w:rPr>
                <w:rFonts w:ascii="Calibri" w:hAnsi="Calibri"/>
                <w:sz w:val="22"/>
              </w:rPr>
              <w:t>AI net beneficiary; cloud migration driving 3-4x spend; ARR &gt;20% and reaccelerating; MCP adoption surging</w:t>
            </w:r>
          </w:p>
        </w:tc>
        <w:tc>
          <w:tcPr>
            <w:tcW w:type="dxa" w:w="2160"/>
          </w:tcPr>
          <w:p>
            <w:r>
              <w:rPr>
                <w:rFonts w:ascii="Calibri" w:hAnsi="Calibri"/>
                <w:b/>
                <w:color w:val="30A46C"/>
                <w:sz w:val="22"/>
              </w:rPr>
              <w:t>Positive</w:t>
            </w:r>
          </w:p>
        </w:tc>
      </w:tr>
      <w:tr>
        <w:tc>
          <w:tcPr>
            <w:tcW w:type="dxa" w:w="2160"/>
          </w:tcPr>
          <w:p>
            <w:r>
              <w:rPr>
                <w:rFonts w:ascii="Calibri" w:hAnsi="Calibri"/>
                <w:sz w:val="22"/>
              </w:rPr>
              <w:t>ServiceNow (NOW)</w:t>
            </w:r>
          </w:p>
        </w:tc>
        <w:tc>
          <w:tcPr>
            <w:tcW w:type="dxa" w:w="2160"/>
          </w:tcPr>
          <w:p>
            <w:r>
              <w:rPr>
                <w:rFonts w:ascii="Calibri" w:hAnsi="Calibri"/>
                <w:sz w:val="22"/>
              </w:rPr>
              <w:t>Evercore TMT Conf, Jun 3</w:t>
            </w:r>
          </w:p>
        </w:tc>
        <w:tc>
          <w:tcPr>
            <w:tcW w:type="dxa" w:w="2160"/>
          </w:tcPr>
          <w:p>
            <w:r>
              <w:rPr>
                <w:rFonts w:ascii="Calibri" w:hAnsi="Calibri"/>
                <w:sz w:val="22"/>
              </w:rPr>
              <w:t>Data &amp; Analytics on track for $1B+ ARR; AI readiness urgency driving enterprise IT spend; agentic AI creating new monitoring needs</w:t>
            </w:r>
          </w:p>
        </w:tc>
        <w:tc>
          <w:tcPr>
            <w:tcW w:type="dxa" w:w="2160"/>
          </w:tcPr>
          <w:p>
            <w:r>
              <w:rPr>
                <w:rFonts w:ascii="Calibri" w:hAnsi="Calibri"/>
                <w:sz w:val="22"/>
              </w:rPr>
              <w:t>Modestly Positive</w:t>
            </w:r>
          </w:p>
        </w:tc>
      </w:tr>
    </w:tbl>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broad-based AI demand acceleration confirmed by multiple peers reporting in June</w:t>
      </w:r>
      <w:r>
        <w:rPr>
          <w:rFonts w:ascii="Calibri" w:hAnsi="Calibri"/>
          <w:color w:val="525866"/>
          <w:sz w:val="22"/>
        </w:rPr>
        <w:t>, which validates DDOG's Q1 narrative and supports the Q2 setup; the Truist upgrade to Buy is the only formal analyst rating change.</w:t>
      </w:r>
    </w:p>
    <w:p>
      <w:pPr>
        <w:pStyle w:val="ListBullet"/>
        <w:ind w:left="360" w:hanging="360"/>
      </w:pPr>
      <w:r>
        <w:rPr>
          <w:rFonts w:ascii="Calibri" w:hAnsi="Calibri"/>
          <w:b/>
          <w:color w:val="525866"/>
          <w:sz w:val="22"/>
        </w:rPr>
        <w:t xml:space="preserve">May 7, 2026 — Q1 FY2026 Earnings Beat (Baseline Event): </w:t>
      </w:r>
      <w:r>
        <w:rPr>
          <w:rFonts w:ascii="Calibri" w:hAnsi="Calibri"/>
          <w:color w:val="525866"/>
          <w:sz w:val="22"/>
        </w:rPr>
        <w:t xml:space="preserve">Revenue of $1.006B (+32% YoY) crossed the $1B quarterly threshold for the first time, beating guidance high end and consensus by ~5%. FY2026 guidance raised materially. New logo bookings more than doubled YoY. ARR surpassed $4B. Stock surged ~25% on the day. </w:t>
      </w:r>
      <w:r>
        <w:rPr>
          <w:rFonts w:ascii="Calibri" w:hAnsi="Calibri"/>
          <w:b/>
          <w:color w:val="525866"/>
          <w:sz w:val="22"/>
        </w:rPr>
        <w:t xml:space="preserve">Implication: </w:t>
      </w:r>
      <w:r>
        <w:rPr>
          <w:rFonts w:ascii="Calibri" w:hAnsi="Calibri"/>
          <w:color w:val="525866"/>
          <w:sz w:val="22"/>
        </w:rPr>
        <w:t>Sets a high bar for Q2 but also demonstrates management's consistent conservatism in guidance.</w:t>
      </w:r>
    </w:p>
    <w:p>
      <w:pPr>
        <w:pStyle w:val="ListBullet"/>
        <w:ind w:left="360" w:hanging="360"/>
      </w:pPr>
      <w:r>
        <w:rPr>
          <w:rFonts w:ascii="Calibri" w:hAnsi="Calibri"/>
          <w:b/>
          <w:color w:val="525866"/>
          <w:sz w:val="22"/>
        </w:rPr>
        <w:t xml:space="preserve">June 2–4, 2026 — Peer Earnings &amp; Conference Read-Throughs (CRWD, PANW, SNOW, ESTC, TEAM, NOW): </w:t>
      </w:r>
      <w:r>
        <w:rPr>
          <w:rFonts w:ascii="Calibri" w:hAnsi="Calibri"/>
          <w:color w:val="525866"/>
          <w:sz w:val="22"/>
        </w:rPr>
        <w:t xml:space="preserve">Multiple cloud software and security peers reported strong results or provided bullish commentary at the BofA Technology Conference, consistently citing AI-driven demand acceleration, platform consolidation, and enterprise IT spending strength. PANW's Chronosphere observability ARR nearly doubling is the most direct DDOG read-through. </w:t>
      </w:r>
      <w:r>
        <w:rPr>
          <w:rFonts w:ascii="Calibri" w:hAnsi="Calibri"/>
          <w:b/>
          <w:color w:val="525866"/>
          <w:sz w:val="22"/>
        </w:rPr>
        <w:t xml:space="preserve">Implication: </w:t>
      </w:r>
      <w:r>
        <w:rPr>
          <w:rFonts w:ascii="Calibri" w:hAnsi="Calibri"/>
          <w:color w:val="525866"/>
          <w:sz w:val="22"/>
        </w:rPr>
        <w:t>Validates DDOG's Q2 demand environment; reduces risk of a macro-driven miss.</w:t>
      </w:r>
    </w:p>
    <w:p>
      <w:pPr>
        <w:pStyle w:val="ListBullet"/>
        <w:ind w:left="360" w:hanging="360"/>
      </w:pPr>
      <w:r>
        <w:rPr>
          <w:rFonts w:ascii="Calibri" w:hAnsi="Calibri"/>
          <w:b/>
          <w:color w:val="525866"/>
          <w:sz w:val="22"/>
        </w:rPr>
        <w:t xml:space="preserve">June 3, 2026 — BofA Global Technology Conference (DDOG CFO David Obstler): </w:t>
      </w:r>
      <w:r>
        <w:rPr>
          <w:rFonts w:ascii="Calibri" w:hAnsi="Calibri"/>
          <w:color w:val="525866"/>
          <w:sz w:val="22"/>
        </w:rPr>
        <w:t xml:space="preserve">CFO reiterated broad-based acceleration across AI-native, non-AI, enterprise, and SMB cohorts. No guidance revision. Confirmed DASH user conference (~$15M cost) reflected in Q2 guidance. Highlighted that core products (infra monitoring, APM, logs) are each &gt;$1B ARR individually. </w:t>
      </w:r>
      <w:r>
        <w:rPr>
          <w:rFonts w:ascii="Calibri" w:hAnsi="Calibri"/>
          <w:b/>
          <w:color w:val="525866"/>
          <w:sz w:val="22"/>
        </w:rPr>
        <w:t xml:space="preserve">Implication: </w:t>
      </w:r>
      <w:r>
        <w:rPr>
          <w:rFonts w:ascii="Calibri" w:hAnsi="Calibri"/>
          <w:color w:val="525866"/>
          <w:sz w:val="22"/>
        </w:rPr>
        <w:t>Constructive tone; no negative signals; DASH conference cost already in guidance.</w:t>
      </w:r>
    </w:p>
    <w:p>
      <w:pPr>
        <w:pStyle w:val="ListBullet"/>
        <w:ind w:left="360" w:hanging="360"/>
      </w:pPr>
      <w:r>
        <w:rPr>
          <w:rFonts w:ascii="Calibri" w:hAnsi="Calibri"/>
          <w:b/>
          <w:color w:val="525866"/>
          <w:sz w:val="22"/>
        </w:rPr>
        <w:t xml:space="preserve">June 15, 2026 — Truist Securities Upgrades DDOG to Buy (from Hold): </w:t>
      </w:r>
      <w:r>
        <w:rPr>
          <w:rFonts w:ascii="Calibri" w:hAnsi="Calibri"/>
          <w:color w:val="525866"/>
          <w:sz w:val="22"/>
        </w:rPr>
        <w:t xml:space="preserve">Only formal analyst rating change since Q1 earnings. Upgrade reflects conviction in DDOG's AI platform positioning and growth acceleration. </w:t>
      </w:r>
      <w:r>
        <w:rPr>
          <w:rFonts w:ascii="Calibri" w:hAnsi="Calibri"/>
          <w:b/>
          <w:color w:val="525866"/>
          <w:sz w:val="22"/>
        </w:rPr>
        <w:t xml:space="preserve">Implication: </w:t>
      </w:r>
      <w:r>
        <w:rPr>
          <w:rFonts w:ascii="Calibri" w:hAnsi="Calibri"/>
          <w:color w:val="525866"/>
          <w:sz w:val="22"/>
        </w:rPr>
        <w:t>Positive sentiment signal; may have contributed to stock's continued outperformance post-Q1.</w:t>
      </w:r>
    </w:p>
    <w:p>
      <w:pPr>
        <w:pStyle w:val="ListBullet"/>
        <w:ind w:left="360" w:hanging="360"/>
      </w:pPr>
      <w:r>
        <w:rPr>
          <w:rFonts w:ascii="Calibri" w:hAnsi="Calibri"/>
          <w:b/>
          <w:color w:val="525866"/>
          <w:sz w:val="22"/>
        </w:rPr>
        <w:t xml:space="preserve">June 16, 2026 — Shareholders Reject Simple Majority Voting Proposal (8-K): </w:t>
      </w:r>
      <w:r>
        <w:rPr>
          <w:rFonts w:ascii="Calibri" w:hAnsi="Calibri"/>
          <w:color w:val="525866"/>
          <w:sz w:val="22"/>
        </w:rPr>
        <w:t xml:space="preserve">DDOG shareholders voted against a governance proposal to adopt simple majority voting. </w:t>
      </w:r>
      <w:r>
        <w:rPr>
          <w:rFonts w:ascii="Calibri" w:hAnsi="Calibri"/>
          <w:b/>
          <w:color w:val="525866"/>
          <w:sz w:val="22"/>
        </w:rPr>
        <w:t xml:space="preserve">Implication: </w:t>
      </w:r>
      <w:r>
        <w:rPr>
          <w:rFonts w:ascii="Calibri" w:hAnsi="Calibri"/>
          <w:color w:val="525866"/>
          <w:sz w:val="22"/>
        </w:rPr>
        <w:t>Governance/ESG item; no material impact on business fundamentals or near-term earnings.</w:t>
      </w:r>
    </w:p>
    <w:p>
      <w:pPr>
        <w:pStyle w:val="ListBullet"/>
        <w:ind w:left="360" w:hanging="360"/>
      </w:pPr>
      <w:r>
        <w:rPr>
          <w:rFonts w:ascii="Calibri" w:hAnsi="Calibri"/>
          <w:b/>
          <w:color w:val="525866"/>
          <w:sz w:val="22"/>
        </w:rPr>
        <w:t xml:space="preserve">July 16, 2026 — Q2 FY2026 Earnings Call Date Announced: </w:t>
      </w:r>
      <w:r>
        <w:rPr>
          <w:rFonts w:ascii="Calibri" w:hAnsi="Calibri"/>
          <w:color w:val="525866"/>
          <w:sz w:val="22"/>
        </w:rPr>
        <w:t xml:space="preserve">Datadog announced the date of its Q2 FY2026 earnings call via press release. Exact date not specified in available documents. </w:t>
      </w:r>
      <w:r>
        <w:rPr>
          <w:rFonts w:ascii="Calibri" w:hAnsi="Calibri"/>
          <w:b/>
          <w:color w:val="525866"/>
          <w:sz w:val="22"/>
        </w:rPr>
        <w:t xml:space="preserve">Implication: </w:t>
      </w:r>
      <w:r>
        <w:rPr>
          <w:rFonts w:ascii="Calibri" w:hAnsi="Calibri"/>
          <w:color w:val="525866"/>
          <w:sz w:val="22"/>
        </w:rPr>
        <w:t>Routine administrative announcement; confirms earnings are imminent.</w:t>
      </w:r>
    </w:p>
    <w:p>
      <w:pPr>
        <w:pStyle w:val="ListBullet"/>
        <w:ind w:left="360" w:hanging="360"/>
      </w:pPr>
      <w:r>
        <w:rPr>
          <w:rFonts w:ascii="Calibri" w:hAnsi="Calibri"/>
          <w:b/>
          <w:color w:val="525866"/>
          <w:sz w:val="22"/>
        </w:rPr>
        <w:t xml:space="preserve">August 5, 2026 — Upcoming Investor Conference Presentations Announced: </w:t>
      </w:r>
      <w:r>
        <w:rPr>
          <w:rFonts w:ascii="Calibri" w:hAnsi="Calibri"/>
          <w:color w:val="525866"/>
          <w:sz w:val="22"/>
        </w:rPr>
        <w:t xml:space="preserve">Datadog announced upcoming investor conference presentations. </w:t>
      </w:r>
      <w:r>
        <w:rPr>
          <w:rFonts w:ascii="Calibri" w:hAnsi="Calibri"/>
          <w:b/>
          <w:color w:val="525866"/>
          <w:sz w:val="22"/>
        </w:rPr>
        <w:t xml:space="preserve">Implication: </w:t>
      </w:r>
      <w:r>
        <w:rPr>
          <w:rFonts w:ascii="Calibri" w:hAnsi="Calibri"/>
          <w:color w:val="525866"/>
          <w:sz w:val="22"/>
        </w:rPr>
        <w:t>Management engagement with investors ahead of earnings; no guidance update expected at conferences.</w:t>
      </w:r>
    </w:p>
    <w:p>
      <w:pPr>
        <w:pStyle w:val="ListBullet"/>
        <w:ind w:left="360" w:hanging="360"/>
      </w:pPr>
      <w:r>
        <w:rPr>
          <w:rFonts w:ascii="Calibri" w:hAnsi="Calibri"/>
          <w:b/>
          <w:color w:val="525866"/>
          <w:sz w:val="22"/>
        </w:rPr>
        <w:t xml:space="preserve">Ongoing — AI Training Workload Market Emerging: </w:t>
      </w:r>
      <w:r>
        <w:rPr>
          <w:rFonts w:ascii="Calibri" w:hAnsi="Calibri"/>
          <w:color w:val="525866"/>
          <w:sz w:val="22"/>
        </w:rPr>
        <w:t xml:space="preserve">DDOG's Q1 disclosure of landing two hyperscaler AI research divisions for GPU monitoring on training workloads (including a 7-figure and an 8-figure annualized deal) represents a new addressable market. Management characterized training runs as currently "episodic rather than always-on" but is watching for evolution toward continuous learning. </w:t>
      </w:r>
      <w:r>
        <w:rPr>
          <w:rFonts w:ascii="Calibri" w:hAnsi="Calibri"/>
          <w:b/>
          <w:color w:val="525866"/>
          <w:sz w:val="22"/>
        </w:rPr>
        <w:t xml:space="preserve">Implication: </w:t>
      </w:r>
      <w:r>
        <w:rPr>
          <w:rFonts w:ascii="Calibri" w:hAnsi="Calibri"/>
          <w:color w:val="525866"/>
          <w:sz w:val="22"/>
        </w:rPr>
        <w:t>Key wildcard for Q2 — any update on training workload momentum (positive or negative) could be the decisive swing factor.</w:t>
      </w:r>
    </w:p>
    <w:p>
      <w:pPr>
        <w:pStyle w:val="ListBullet"/>
        <w:ind w:left="360" w:hanging="360"/>
      </w:pPr>
      <w:r>
        <w:rPr>
          <w:rFonts w:ascii="Calibri" w:hAnsi="Calibri"/>
          <w:b/>
          <w:color w:val="525866"/>
          <w:sz w:val="22"/>
        </w:rPr>
        <w:t xml:space="preserve">Ongoing — Toto 2.0 Time Series Foundation Model (Open-Weight, Apache 2.0): </w:t>
      </w:r>
      <w:r>
        <w:rPr>
          <w:rFonts w:ascii="Calibri" w:hAnsi="Calibri"/>
          <w:color w:val="525866"/>
          <w:sz w:val="22"/>
        </w:rPr>
        <w:t xml:space="preserve">Released May 2026, achieving state-of-the-art results across observability and general-purpose time series benchmarks. Management views this as the research foundation for moving from reactive investigation to predictive observability. </w:t>
      </w:r>
      <w:r>
        <w:rPr>
          <w:rFonts w:ascii="Calibri" w:hAnsi="Calibri"/>
          <w:b/>
          <w:color w:val="525866"/>
          <w:sz w:val="22"/>
        </w:rPr>
        <w:t xml:space="preserve">Implication: </w:t>
      </w:r>
      <w:r>
        <w:rPr>
          <w:rFonts w:ascii="Calibri" w:hAnsi="Calibri"/>
          <w:color w:val="525866"/>
          <w:sz w:val="22"/>
        </w:rPr>
        <w:t>Strengthens DDOG's AI differentiation narrative; potential product catalyst for Bits AI suite adoption.</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Q1 earnings are open-market sales, the </w:t>
      </w:r>
      <w:r>
        <w:rPr>
          <w:rFonts w:ascii="Calibri" w:hAnsi="Calibri"/>
          <w:b/>
          <w:color w:val="525866"/>
          <w:sz w:val="22"/>
        </w:rPr>
        <w:t>overwhelming majority under pre-established 10b5-1 plans</w:t>
      </w:r>
      <w:r>
        <w:rPr>
          <w:rFonts w:ascii="Calibri" w:hAnsi="Calibri"/>
          <w:color w:val="525866"/>
          <w:sz w:val="22"/>
        </w:rPr>
        <w:t xml:space="preserve"> — routine and obligation-driven; no open-market buys and no unusual discretionary sale clusters that would signal concern. The volume of 10b5-1 plan sales from the CEO, CTO, and CFO is consistent with prior quarters and reflects planned diversification at elevated stock prices post the Q1 surge.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Pomel, Olivier</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127,141</w:t>
            </w:r>
          </w:p>
        </w:tc>
        <w:tc>
          <w:tcPr>
            <w:tcW w:type="dxa" w:w="1440"/>
          </w:tcPr>
          <w:p>
            <w:r>
              <w:rPr>
                <w:rFonts w:ascii="Calibri" w:hAnsi="Calibri"/>
                <w:sz w:val="22"/>
              </w:rPr>
              <w:t>Jul 13, 2026</w:t>
            </w:r>
          </w:p>
        </w:tc>
        <w:tc>
          <w:tcPr>
            <w:tcW w:type="dxa" w:w="1440"/>
          </w:tcPr>
          <w:p>
            <w:r>
              <w:rPr>
                <w:rFonts w:ascii="Calibri" w:hAnsi="Calibri"/>
                <w:sz w:val="22"/>
              </w:rPr>
              <w:t>10b5-1 plan; routine scheduled sale</w:t>
            </w:r>
          </w:p>
        </w:tc>
      </w:tr>
      <w:tr>
        <w:tc>
          <w:tcPr>
            <w:tcW w:type="dxa" w:w="1440"/>
          </w:tcPr>
          <w:p>
            <w:r>
              <w:rPr>
                <w:rFonts w:ascii="Calibri" w:hAnsi="Calibri"/>
                <w:sz w:val="22"/>
              </w:rPr>
              <w:t>Pomel, Olivier</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47,054</w:t>
            </w:r>
          </w:p>
        </w:tc>
        <w:tc>
          <w:tcPr>
            <w:tcW w:type="dxa" w:w="1440"/>
          </w:tcPr>
          <w:p>
            <w:r>
              <w:rPr>
                <w:rFonts w:ascii="Calibri" w:hAnsi="Calibri"/>
                <w:sz w:val="22"/>
              </w:rPr>
              <w:t>Jul 23, 2026</w:t>
            </w:r>
          </w:p>
        </w:tc>
        <w:tc>
          <w:tcPr>
            <w:tcW w:type="dxa" w:w="1440"/>
          </w:tcPr>
          <w:p>
            <w:r>
              <w:rPr>
                <w:rFonts w:ascii="Calibri" w:hAnsi="Calibri"/>
                <w:sz w:val="22"/>
              </w:rPr>
              <w:t>10b5-1 plan; routine scheduled sale</w:t>
            </w:r>
          </w:p>
        </w:tc>
      </w:tr>
      <w:tr>
        <w:tc>
          <w:tcPr>
            <w:tcW w:type="dxa" w:w="1440"/>
          </w:tcPr>
          <w:p>
            <w:r>
              <w:rPr>
                <w:rFonts w:ascii="Calibri" w:hAnsi="Calibri"/>
                <w:sz w:val="22"/>
              </w:rPr>
              <w:t>Le-Quoc, Alexis</w:t>
            </w:r>
          </w:p>
        </w:tc>
        <w:tc>
          <w:tcPr>
            <w:tcW w:type="dxa" w:w="1440"/>
          </w:tcPr>
          <w:p>
            <w:r>
              <w:rPr>
                <w:rFonts w:ascii="Calibri" w:hAnsi="Calibri"/>
                <w:sz w:val="22"/>
              </w:rPr>
              <w:t>CTO &amp; Director</w:t>
            </w:r>
          </w:p>
        </w:tc>
        <w:tc>
          <w:tcPr>
            <w:tcW w:type="dxa" w:w="1440"/>
          </w:tcPr>
          <w:p>
            <w:r>
              <w:rPr>
                <w:rFonts w:ascii="Calibri" w:hAnsi="Calibri"/>
                <w:sz w:val="22"/>
              </w:rPr>
              <w:t>10b5-1 Planned Sale</w:t>
            </w:r>
          </w:p>
        </w:tc>
        <w:tc>
          <w:tcPr>
            <w:tcW w:type="dxa" w:w="1440"/>
          </w:tcPr>
          <w:p>
            <w:r>
              <w:rPr>
                <w:rFonts w:ascii="Calibri" w:hAnsi="Calibri"/>
                <w:sz w:val="22"/>
              </w:rPr>
              <w:t>53,912</w:t>
            </w:r>
          </w:p>
        </w:tc>
        <w:tc>
          <w:tcPr>
            <w:tcW w:type="dxa" w:w="1440"/>
          </w:tcPr>
          <w:p>
            <w:r>
              <w:rPr>
                <w:rFonts w:ascii="Calibri" w:hAnsi="Calibri"/>
                <w:sz w:val="22"/>
              </w:rPr>
              <w:t>Jul 8, 2026</w:t>
            </w:r>
          </w:p>
        </w:tc>
        <w:tc>
          <w:tcPr>
            <w:tcW w:type="dxa" w:w="1440"/>
          </w:tcPr>
          <w:p>
            <w:r>
              <w:rPr>
                <w:rFonts w:ascii="Calibri" w:hAnsi="Calibri"/>
                <w:sz w:val="22"/>
              </w:rPr>
              <w:t>10b5-1 plan; routine scheduled sale</w:t>
            </w:r>
          </w:p>
        </w:tc>
      </w:tr>
      <w:tr>
        <w:tc>
          <w:tcPr>
            <w:tcW w:type="dxa" w:w="1440"/>
          </w:tcPr>
          <w:p>
            <w:r>
              <w:rPr>
                <w:rFonts w:ascii="Calibri" w:hAnsi="Calibri"/>
                <w:sz w:val="22"/>
              </w:rPr>
              <w:t>Le-Quoc, Alexis</w:t>
            </w:r>
          </w:p>
        </w:tc>
        <w:tc>
          <w:tcPr>
            <w:tcW w:type="dxa" w:w="1440"/>
          </w:tcPr>
          <w:p>
            <w:r>
              <w:rPr>
                <w:rFonts w:ascii="Calibri" w:hAnsi="Calibri"/>
                <w:sz w:val="22"/>
              </w:rPr>
              <w:t>CTO &amp; Director</w:t>
            </w:r>
          </w:p>
        </w:tc>
        <w:tc>
          <w:tcPr>
            <w:tcW w:type="dxa" w:w="1440"/>
          </w:tcPr>
          <w:p>
            <w:r>
              <w:rPr>
                <w:rFonts w:ascii="Calibri" w:hAnsi="Calibri"/>
                <w:sz w:val="22"/>
              </w:rPr>
              <w:t>10b5-1 Planned Sale</w:t>
            </w:r>
          </w:p>
        </w:tc>
        <w:tc>
          <w:tcPr>
            <w:tcW w:type="dxa" w:w="1440"/>
          </w:tcPr>
          <w:p>
            <w:r>
              <w:rPr>
                <w:rFonts w:ascii="Calibri" w:hAnsi="Calibri"/>
                <w:sz w:val="22"/>
              </w:rPr>
              <w:t>43,224</w:t>
            </w:r>
          </w:p>
        </w:tc>
        <w:tc>
          <w:tcPr>
            <w:tcW w:type="dxa" w:w="1440"/>
          </w:tcPr>
          <w:p>
            <w:r>
              <w:rPr>
                <w:rFonts w:ascii="Calibri" w:hAnsi="Calibri"/>
                <w:sz w:val="22"/>
              </w:rPr>
              <w:t>Jul 20, 2026</w:t>
            </w:r>
          </w:p>
        </w:tc>
        <w:tc>
          <w:tcPr>
            <w:tcW w:type="dxa" w:w="1440"/>
          </w:tcPr>
          <w:p>
            <w:r>
              <w:rPr>
                <w:rFonts w:ascii="Calibri" w:hAnsi="Calibri"/>
                <w:sz w:val="22"/>
              </w:rPr>
              <w:t>10b5-1 plan; routine scheduled sale</w:t>
            </w:r>
          </w:p>
        </w:tc>
      </w:tr>
      <w:tr>
        <w:tc>
          <w:tcPr>
            <w:tcW w:type="dxa" w:w="1440"/>
          </w:tcPr>
          <w:p>
            <w:r>
              <w:rPr>
                <w:rFonts w:ascii="Calibri" w:hAnsi="Calibri"/>
                <w:sz w:val="22"/>
              </w:rPr>
              <w:t>Obstler, David M.</w:t>
            </w:r>
          </w:p>
        </w:tc>
        <w:tc>
          <w:tcPr>
            <w:tcW w:type="dxa" w:w="1440"/>
          </w:tcPr>
          <w:p>
            <w:r>
              <w:rPr>
                <w:rFonts w:ascii="Calibri" w:hAnsi="Calibri"/>
                <w:sz w:val="22"/>
              </w:rPr>
              <w:t>CFO</w:t>
            </w:r>
          </w:p>
        </w:tc>
        <w:tc>
          <w:tcPr>
            <w:tcW w:type="dxa" w:w="1440"/>
          </w:tcPr>
          <w:p>
            <w:r>
              <w:rPr>
                <w:rFonts w:ascii="Calibri" w:hAnsi="Calibri"/>
                <w:sz w:val="22"/>
              </w:rPr>
              <w:t>10b5-1 Planned Sale</w:t>
            </w:r>
          </w:p>
        </w:tc>
        <w:tc>
          <w:tcPr>
            <w:tcW w:type="dxa" w:w="1440"/>
          </w:tcPr>
          <w:p>
            <w:r>
              <w:rPr>
                <w:rFonts w:ascii="Calibri" w:hAnsi="Calibri"/>
                <w:sz w:val="22"/>
              </w:rPr>
              <w:t>75,000</w:t>
            </w:r>
          </w:p>
        </w:tc>
        <w:tc>
          <w:tcPr>
            <w:tcW w:type="dxa" w:w="1440"/>
          </w:tcPr>
          <w:p>
            <w:r>
              <w:rPr>
                <w:rFonts w:ascii="Calibri" w:hAnsi="Calibri"/>
                <w:sz w:val="22"/>
              </w:rPr>
              <w:t>Jun 8, 2026</w:t>
            </w:r>
          </w:p>
        </w:tc>
        <w:tc>
          <w:tcPr>
            <w:tcW w:type="dxa" w:w="1440"/>
          </w:tcPr>
          <w:p>
            <w:r>
              <w:rPr>
                <w:rFonts w:ascii="Calibri" w:hAnsi="Calibri"/>
                <w:sz w:val="22"/>
              </w:rPr>
              <w:t>10b5-1 plan; routine scheduled sale</w:t>
            </w:r>
          </w:p>
        </w:tc>
      </w:tr>
      <w:tr>
        <w:tc>
          <w:tcPr>
            <w:tcW w:type="dxa" w:w="1440"/>
          </w:tcPr>
          <w:p>
            <w:r>
              <w:rPr>
                <w:rFonts w:ascii="Calibri" w:hAnsi="Calibri"/>
                <w:sz w:val="22"/>
              </w:rPr>
              <w:t>Pomel, Olivier</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127,141</w:t>
            </w:r>
          </w:p>
        </w:tc>
        <w:tc>
          <w:tcPr>
            <w:tcW w:type="dxa" w:w="1440"/>
          </w:tcPr>
          <w:p>
            <w:r>
              <w:rPr>
                <w:rFonts w:ascii="Calibri" w:hAnsi="Calibri"/>
                <w:sz w:val="22"/>
              </w:rPr>
              <w:t>Jun 8, 2026</w:t>
            </w:r>
          </w:p>
        </w:tc>
        <w:tc>
          <w:tcPr>
            <w:tcW w:type="dxa" w:w="1440"/>
          </w:tcPr>
          <w:p>
            <w:r>
              <w:rPr>
                <w:rFonts w:ascii="Calibri" w:hAnsi="Calibri"/>
                <w:sz w:val="22"/>
              </w:rPr>
              <w:t>10b5-1 plan; routine scheduled sale</w:t>
            </w:r>
          </w:p>
        </w:tc>
      </w:tr>
      <w:tr>
        <w:tc>
          <w:tcPr>
            <w:tcW w:type="dxa" w:w="1440"/>
          </w:tcPr>
          <w:p>
            <w:r>
              <w:rPr>
                <w:rFonts w:ascii="Calibri" w:hAnsi="Calibri"/>
                <w:sz w:val="22"/>
              </w:rPr>
              <w:t>Pomel, Olivier</w:t>
            </w:r>
          </w:p>
        </w:tc>
        <w:tc>
          <w:tcPr>
            <w:tcW w:type="dxa" w:w="1440"/>
          </w:tcPr>
          <w:p>
            <w:r>
              <w:rPr>
                <w:rFonts w:ascii="Calibri" w:hAnsi="Calibri"/>
                <w:sz w:val="22"/>
              </w:rPr>
              <w:t>CEO &amp; Director</w:t>
            </w:r>
          </w:p>
        </w:tc>
        <w:tc>
          <w:tcPr>
            <w:tcW w:type="dxa" w:w="1440"/>
          </w:tcPr>
          <w:p>
            <w:r>
              <w:rPr>
                <w:rFonts w:ascii="Calibri" w:hAnsi="Calibri"/>
                <w:sz w:val="22"/>
              </w:rPr>
              <w:t>10b5-1 Planned Sale</w:t>
            </w:r>
          </w:p>
        </w:tc>
        <w:tc>
          <w:tcPr>
            <w:tcW w:type="dxa" w:w="1440"/>
          </w:tcPr>
          <w:p>
            <w:r>
              <w:rPr>
                <w:rFonts w:ascii="Calibri" w:hAnsi="Calibri"/>
                <w:sz w:val="22"/>
              </w:rPr>
              <w:t>84,698</w:t>
            </w:r>
          </w:p>
        </w:tc>
        <w:tc>
          <w:tcPr>
            <w:tcW w:type="dxa" w:w="1440"/>
          </w:tcPr>
          <w:p>
            <w:r>
              <w:rPr>
                <w:rFonts w:ascii="Calibri" w:hAnsi="Calibri"/>
                <w:sz w:val="22"/>
              </w:rPr>
              <w:t>Jun 16, 2026</w:t>
            </w:r>
          </w:p>
        </w:tc>
        <w:tc>
          <w:tcPr>
            <w:tcW w:type="dxa" w:w="1440"/>
          </w:tcPr>
          <w:p>
            <w:r>
              <w:rPr>
                <w:rFonts w:ascii="Calibri" w:hAnsi="Calibri"/>
                <w:sz w:val="22"/>
              </w:rPr>
              <w:t>10b5-1 plan; routine scheduled sale</w:t>
            </w:r>
          </w:p>
        </w:tc>
      </w:tr>
      <w:tr>
        <w:tc>
          <w:tcPr>
            <w:tcW w:type="dxa" w:w="1440"/>
          </w:tcPr>
          <w:p>
            <w:r>
              <w:rPr>
                <w:rFonts w:ascii="Calibri" w:hAnsi="Calibri"/>
                <w:sz w:val="22"/>
              </w:rPr>
              <w:t>Callahan, Michael J.</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112,500</w:t>
            </w:r>
          </w:p>
        </w:tc>
        <w:tc>
          <w:tcPr>
            <w:tcW w:type="dxa" w:w="1440"/>
          </w:tcPr>
          <w:p>
            <w:r>
              <w:rPr>
                <w:rFonts w:ascii="Calibri" w:hAnsi="Calibri"/>
                <w:sz w:val="22"/>
              </w:rPr>
              <w:t>Jun 12, 2026</w:t>
            </w:r>
          </w:p>
        </w:tc>
        <w:tc>
          <w:tcPr>
            <w:tcW w:type="dxa" w:w="1440"/>
          </w:tcPr>
          <w:p>
            <w:r>
              <w:rPr>
                <w:rFonts w:ascii="Calibri" w:hAnsi="Calibri"/>
                <w:sz w:val="22"/>
              </w:rPr>
              <w:t>10b5-1 plan; large block sale via trust</w:t>
            </w:r>
          </w:p>
        </w:tc>
      </w:tr>
      <w:tr>
        <w:tc>
          <w:tcPr>
            <w:tcW w:type="dxa" w:w="1440"/>
          </w:tcPr>
          <w:p>
            <w:r>
              <w:rPr>
                <w:rFonts w:ascii="Calibri" w:hAnsi="Calibri"/>
                <w:sz w:val="22"/>
              </w:rPr>
              <w:t>Agarwal, Amit</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20,000 (per tranche)</w:t>
            </w:r>
          </w:p>
        </w:tc>
        <w:tc>
          <w:tcPr>
            <w:tcW w:type="dxa" w:w="1440"/>
          </w:tcPr>
          <w:p>
            <w:r>
              <w:rPr>
                <w:rFonts w:ascii="Calibri" w:hAnsi="Calibri"/>
                <w:sz w:val="22"/>
              </w:rPr>
              <w:t>Recurring (bi-weekly)</w:t>
            </w:r>
          </w:p>
        </w:tc>
        <w:tc>
          <w:tcPr>
            <w:tcW w:type="dxa" w:w="1440"/>
          </w:tcPr>
          <w:p>
            <w:r>
              <w:rPr>
                <w:rFonts w:ascii="Calibri" w:hAnsi="Calibri"/>
                <w:sz w:val="22"/>
              </w:rPr>
              <w:t>10b5-1 plan; highly regular bi-weekly cadence via trust; 7 tranches since May 2026</w:t>
            </w:r>
          </w:p>
        </w:tc>
      </w:tr>
      <w:tr>
        <w:tc>
          <w:tcPr>
            <w:tcW w:type="dxa" w:w="1440"/>
          </w:tcPr>
          <w:p>
            <w:r>
              <w:rPr>
                <w:rFonts w:ascii="Calibri" w:hAnsi="Calibri"/>
                <w:sz w:val="22"/>
              </w:rPr>
              <w:t>Blitzer, Adam</w:t>
            </w:r>
          </w:p>
        </w:tc>
        <w:tc>
          <w:tcPr>
            <w:tcW w:type="dxa" w:w="1440"/>
          </w:tcPr>
          <w:p>
            <w:r>
              <w:rPr>
                <w:rFonts w:ascii="Calibri" w:hAnsi="Calibri"/>
                <w:sz w:val="22"/>
              </w:rPr>
              <w:t>COO</w:t>
            </w:r>
          </w:p>
        </w:tc>
        <w:tc>
          <w:tcPr>
            <w:tcW w:type="dxa" w:w="1440"/>
          </w:tcPr>
          <w:p>
            <w:r>
              <w:rPr>
                <w:rFonts w:ascii="Calibri" w:hAnsi="Calibri"/>
                <w:sz w:val="22"/>
              </w:rPr>
              <w:t>Open Market Sale</w:t>
            </w:r>
          </w:p>
        </w:tc>
        <w:tc>
          <w:tcPr>
            <w:tcW w:type="dxa" w:w="1440"/>
          </w:tcPr>
          <w:p>
            <w:r>
              <w:rPr>
                <w:rFonts w:ascii="Calibri" w:hAnsi="Calibri"/>
                <w:sz w:val="22"/>
              </w:rPr>
              <w:t>13,642</w:t>
            </w:r>
          </w:p>
        </w:tc>
        <w:tc>
          <w:tcPr>
            <w:tcW w:type="dxa" w:w="1440"/>
          </w:tcPr>
          <w:p>
            <w:r>
              <w:rPr>
                <w:rFonts w:ascii="Calibri" w:hAnsi="Calibri"/>
                <w:sz w:val="22"/>
              </w:rPr>
              <w:t>Jun 2, 2026</w:t>
            </w:r>
          </w:p>
        </w:tc>
        <w:tc>
          <w:tcPr>
            <w:tcW w:type="dxa" w:w="1440"/>
          </w:tcPr>
          <w:p>
            <w:r>
              <w:rPr>
                <w:rFonts w:ascii="Calibri" w:hAnsi="Calibri"/>
                <w:sz w:val="22"/>
              </w:rPr>
              <w:t>Discretionary sale (not flagged as 10b5-1); post-earnings lock-up expiry cluster</w:t>
            </w:r>
          </w:p>
        </w:tc>
      </w:tr>
      <w:tr>
        <w:tc>
          <w:tcPr>
            <w:tcW w:type="dxa" w:w="1440"/>
          </w:tcPr>
          <w:p>
            <w:r>
              <w:rPr>
                <w:rFonts w:ascii="Calibri" w:hAnsi="Calibri"/>
                <w:sz w:val="22"/>
              </w:rPr>
              <w:t>Li, Yanbing</w:t>
            </w:r>
          </w:p>
        </w:tc>
        <w:tc>
          <w:tcPr>
            <w:tcW w:type="dxa" w:w="1440"/>
          </w:tcPr>
          <w:p>
            <w:r>
              <w:rPr>
                <w:rFonts w:ascii="Calibri" w:hAnsi="Calibri"/>
                <w:sz w:val="22"/>
              </w:rPr>
              <w:t>Chief Product Officer</w:t>
            </w:r>
          </w:p>
        </w:tc>
        <w:tc>
          <w:tcPr>
            <w:tcW w:type="dxa" w:w="1440"/>
          </w:tcPr>
          <w:p>
            <w:r>
              <w:rPr>
                <w:rFonts w:ascii="Calibri" w:hAnsi="Calibri"/>
                <w:sz w:val="22"/>
              </w:rPr>
              <w:t>Open Market Sale</w:t>
            </w:r>
          </w:p>
        </w:tc>
        <w:tc>
          <w:tcPr>
            <w:tcW w:type="dxa" w:w="1440"/>
          </w:tcPr>
          <w:p>
            <w:r>
              <w:rPr>
                <w:rFonts w:ascii="Calibri" w:hAnsi="Calibri"/>
                <w:sz w:val="22"/>
              </w:rPr>
              <w:t>11,070</w:t>
            </w:r>
          </w:p>
        </w:tc>
        <w:tc>
          <w:tcPr>
            <w:tcW w:type="dxa" w:w="1440"/>
          </w:tcPr>
          <w:p>
            <w:r>
              <w:rPr>
                <w:rFonts w:ascii="Calibri" w:hAnsi="Calibri"/>
                <w:sz w:val="22"/>
              </w:rPr>
              <w:t>Jun 2, 2026</w:t>
            </w:r>
          </w:p>
        </w:tc>
        <w:tc>
          <w:tcPr>
            <w:tcW w:type="dxa" w:w="1440"/>
          </w:tcPr>
          <w:p>
            <w:r>
              <w:rPr>
                <w:rFonts w:ascii="Calibri" w:hAnsi="Calibri"/>
                <w:sz w:val="22"/>
              </w:rPr>
              <w:t>Discretionary sale; post-earnings cluster on Jun 2</w:t>
            </w:r>
          </w:p>
        </w:tc>
      </w:tr>
      <w:tr>
        <w:tc>
          <w:tcPr>
            <w:tcW w:type="dxa" w:w="1440"/>
          </w:tcPr>
          <w:p>
            <w:r>
              <w:rPr>
                <w:rFonts w:ascii="Calibri" w:hAnsi="Calibri"/>
                <w:sz w:val="22"/>
              </w:rPr>
              <w:t>Acocella, Kerry</w:t>
            </w:r>
          </w:p>
        </w:tc>
        <w:tc>
          <w:tcPr>
            <w:tcW w:type="dxa" w:w="1440"/>
          </w:tcPr>
          <w:p>
            <w:r>
              <w:rPr>
                <w:rFonts w:ascii="Calibri" w:hAnsi="Calibri"/>
                <w:sz w:val="22"/>
              </w:rPr>
              <w:t>General Counsel</w:t>
            </w:r>
          </w:p>
        </w:tc>
        <w:tc>
          <w:tcPr>
            <w:tcW w:type="dxa" w:w="1440"/>
          </w:tcPr>
          <w:p>
            <w:r>
              <w:rPr>
                <w:rFonts w:ascii="Calibri" w:hAnsi="Calibri"/>
                <w:sz w:val="22"/>
              </w:rPr>
              <w:t>Open Market Sale</w:t>
            </w:r>
          </w:p>
        </w:tc>
        <w:tc>
          <w:tcPr>
            <w:tcW w:type="dxa" w:w="1440"/>
          </w:tcPr>
          <w:p>
            <w:r>
              <w:rPr>
                <w:rFonts w:ascii="Calibri" w:hAnsi="Calibri"/>
                <w:sz w:val="22"/>
              </w:rPr>
              <w:t>7,252</w:t>
            </w:r>
          </w:p>
        </w:tc>
        <w:tc>
          <w:tcPr>
            <w:tcW w:type="dxa" w:w="1440"/>
          </w:tcPr>
          <w:p>
            <w:r>
              <w:rPr>
                <w:rFonts w:ascii="Calibri" w:hAnsi="Calibri"/>
                <w:sz w:val="22"/>
              </w:rPr>
              <w:t>Jun 2, 2026</w:t>
            </w:r>
          </w:p>
        </w:tc>
        <w:tc>
          <w:tcPr>
            <w:tcW w:type="dxa" w:w="1440"/>
          </w:tcPr>
          <w:p>
            <w:r>
              <w:rPr>
                <w:rFonts w:ascii="Calibri" w:hAnsi="Calibri"/>
                <w:sz w:val="22"/>
              </w:rPr>
              <w:t>Discretionary sale; post-earnings cluster on Jun 2</w:t>
            </w:r>
          </w:p>
        </w:tc>
      </w:tr>
      <w:tr>
        <w:tc>
          <w:tcPr>
            <w:tcW w:type="dxa" w:w="1440"/>
          </w:tcPr>
          <w:p>
            <w:r>
              <w:rPr>
                <w:rFonts w:ascii="Calibri" w:hAnsi="Calibri"/>
                <w:sz w:val="22"/>
              </w:rPr>
              <w:t>Cole, Titilope</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5,131</w:t>
            </w:r>
          </w:p>
        </w:tc>
        <w:tc>
          <w:tcPr>
            <w:tcW w:type="dxa" w:w="1440"/>
          </w:tcPr>
          <w:p>
            <w:r>
              <w:rPr>
                <w:rFonts w:ascii="Calibri" w:hAnsi="Calibri"/>
                <w:sz w:val="22"/>
              </w:rPr>
              <w:t>Jun 4, 2026</w:t>
            </w:r>
          </w:p>
        </w:tc>
        <w:tc>
          <w:tcPr>
            <w:tcW w:type="dxa" w:w="1440"/>
          </w:tcPr>
          <w:p>
            <w:r>
              <w:rPr>
                <w:rFonts w:ascii="Calibri" w:hAnsi="Calibri"/>
                <w:sz w:val="22"/>
              </w:rPr>
              <w:t>Discretionary sale; not under 10b5-1 plan</w:t>
            </w:r>
          </w:p>
        </w:tc>
      </w:tr>
    </w:tbl>
    <w:p>
      <w:r>
        <w:rPr>
          <w:rFonts w:ascii="Calibri" w:hAnsi="Calibri"/>
          <w:b/>
          <w:color w:val="525866"/>
          <w:sz w:val="22"/>
        </w:rPr>
        <w:t xml:space="preserve">Analysis: </w:t>
      </w:r>
      <w:r>
        <w:rPr>
          <w:rFonts w:ascii="Calibri" w:hAnsi="Calibri"/>
          <w:color w:val="525866"/>
          <w:sz w:val="22"/>
        </w:rPr>
        <w:t xml:space="preserve">All 43 transactions since Q1 earnings are sales — no open-market buys. The vast majority are under pre-established 10b5-1 plans (CEO Pomel, CTO Le-Quoc, CFO Obstler, Director Agarwal, Director Callahan), which are obligation-driven and carry no informational signal. A cluster of discretionary sales occurred on June 2, 2026 (COO Blitzer, CPO Li, General Counsel Acocella, CFO Obstler, CEO Pomel) — this is consistent with a post-earnings trading window opening after the Q1 print and the stock's sharp appreciation. Director Cole's June 4 sale (5,131 shares) is the only non-10b5-1 sale outside the June 2 cluster. </w:t>
      </w:r>
      <w:r>
        <w:rPr>
          <w:rFonts w:ascii="Calibri" w:hAnsi="Calibri"/>
          <w:b/>
          <w:color w:val="525866"/>
          <w:sz w:val="22"/>
        </w:rPr>
        <w:t>Overall: nothing stands out as a negative signal; the pattern is consistent with routine diversification at elevated stock prices.</w:t>
      </w:r>
    </w:p>
    <w:p>
      <w:r>
        <w:rPr>
          <w:rFonts w:ascii="Calibri" w:hAnsi="Calibri"/>
          <w:i/>
          <w:color w:val="525866"/>
          <w:sz w:val="22"/>
        </w:rPr>
        <w:t>Source: SEC Form 4 filings database. Open-market buys (transaction code P) and open-market sales (transaction code S) only. 10b5-1 plan status per overall_10b5 field.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