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Datadog, Inc. (DDOG)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Datadog, Inc.</w:t>
            </w:r>
          </w:p>
        </w:tc>
      </w:tr>
      <w:tr>
        <w:tc>
          <w:tcPr>
            <w:tcW w:type="dxa" w:w="4320"/>
          </w:tcPr>
          <w:p>
            <w:r>
              <w:rPr>
                <w:rFonts w:ascii="Calibri" w:hAnsi="Calibri"/>
                <w:b/>
                <w:sz w:val="22"/>
              </w:rPr>
              <w:t>Ticker</w:t>
            </w:r>
          </w:p>
        </w:tc>
        <w:tc>
          <w:tcPr>
            <w:tcW w:type="dxa" w:w="4320"/>
          </w:tcPr>
          <w:p>
            <w:r>
              <w:rPr>
                <w:rFonts w:ascii="Calibri" w:hAnsi="Calibri"/>
                <w:sz w:val="22"/>
              </w:rPr>
              <w:t>DDOG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(pre-market); conference call 8:00 a.m. ET</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sits at the low end of guidance, estimates have risen sharply since the Q1 print, and every peer read-through points to accelerating AI-driven cloud consumption; the single biggest swing factor is whether the largest AI customer (where management applies heightened conservatism) surprises to the upside.</w:t>
      </w:r>
    </w:p>
    <w:p>
      <w:r>
        <w:rPr>
          <w:rFonts w:ascii="Calibri" w:hAnsi="Calibri"/>
          <w:color w:val="525866"/>
          <w:sz w:val="22"/>
        </w:rPr>
        <w:t>Heading into Q2 2026 results, Datadog's bar looks beatable. Consensus revenue of ~$1.080B sits at the midpoint of the $1.07–$1.08B guidance range issued on May 7, and the company has beaten the top of its own guidance range in each of the last several quarters. Management's tone since the Q1 print has been unambiguously constructive: CFO David Obstler described a "</w:t>
      </w:r>
      <w:r>
        <w:rPr>
          <w:rFonts w:ascii="Calibri" w:hAnsi="Calibri"/>
          <w:b/>
          <w:color w:val="525866"/>
          <w:sz w:val="22"/>
        </w:rPr>
        <w:t>good buying environment</w:t>
      </w:r>
      <w:r>
        <w:rPr>
          <w:rFonts w:ascii="Calibri" w:hAnsi="Calibri"/>
          <w:color w:val="525866"/>
          <w:sz w:val="22"/>
        </w:rPr>
        <w:t>" at the BofA Tech Conference (June 3), CEO Olivier Pomel reiterated a 5–10× long-term opportunity at the Bernstein conference (May 28), and April trends were called out explicitly as a continuation of Q1's record ARR momentum. Estimate revisions have moved sharply higher since the Q1 beat — the non-GAAP EPS consensus for Q2 jumped from $0.51 to $0.59 in the weeks following the May 7 print — suggesting the Street has already re-rated the story, though the stock's ~50% rally since earnings means a meaningful beat is likely needed to drive further upside. The wildcard is the largest AI customer: management applies a "</w:t>
      </w:r>
      <w:r>
        <w:rPr>
          <w:rFonts w:ascii="Calibri" w:hAnsi="Calibri"/>
          <w:b/>
          <w:color w:val="525866"/>
          <w:sz w:val="22"/>
        </w:rPr>
        <w:t>higher degree of conservatism</w:t>
      </w:r>
      <w:r>
        <w:rPr>
          <w:rFonts w:ascii="Calibri" w:hAnsi="Calibri"/>
          <w:color w:val="525866"/>
          <w:sz w:val="22"/>
        </w:rPr>
        <w:t>" to this account in guidance, meaning any upside surprise there could drive a material revenue beat, while a deceleration would be the primary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at the midpoint of guidance across all key metrics, representing a low-to-moderate bar given DDOG's consistent history of beating the top of its own range. Revenue growth and $100K+ customer additions are the two biggest swing factors for the stock reaction.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$1,006.4</w:t>
            </w:r>
          </w:p>
        </w:tc>
        <w:tc>
          <w:tcPr>
            <w:tcW w:type="dxa" w:w="1234"/>
          </w:tcPr>
          <w:p>
            <w:r>
              <w:rPr>
                <w:rFonts w:ascii="Calibri" w:hAnsi="Calibri"/>
                <w:sz w:val="22"/>
              </w:rPr>
              <w:t>$826.8</w:t>
            </w:r>
          </w:p>
        </w:tc>
        <w:tc>
          <w:tcPr>
            <w:tcW w:type="dxa" w:w="1234"/>
          </w:tcPr>
          <w:p>
            <w:r>
              <w:rPr>
                <w:rFonts w:ascii="Calibri" w:hAnsi="Calibri"/>
                <w:sz w:val="22"/>
              </w:rPr>
              <w:t>$1,079.7</w:t>
            </w:r>
          </w:p>
        </w:tc>
        <w:tc>
          <w:tcPr>
            <w:tcW w:type="dxa" w:w="1234"/>
          </w:tcPr>
          <w:p>
            <w:r>
              <w:rPr>
                <w:rFonts w:ascii="Calibri" w:hAnsi="Calibri"/>
                <w:sz w:val="22"/>
              </w:rPr>
              <w:t>+30.6%</w:t>
            </w:r>
          </w:p>
        </w:tc>
        <w:tc>
          <w:tcPr>
            <w:tcW w:type="dxa" w:w="1234"/>
          </w:tcPr>
          <w:p>
            <w:r>
              <w:rPr>
                <w:rFonts w:ascii="Calibri" w:hAnsi="Calibri"/>
                <w:sz w:val="22"/>
              </w:rPr>
              <w:t>$1,070–$1,080</w:t>
            </w:r>
          </w:p>
        </w:tc>
        <w:tc>
          <w:tcPr>
            <w:tcW w:type="dxa" w:w="1234"/>
          </w:tcPr>
          <w:p>
            <w:r>
              <w:rPr>
                <w:rFonts w:ascii="Calibri" w:hAnsi="Calibri"/>
                <w:sz w:val="22"/>
              </w:rPr>
              <w:t>+0.0% (at midpoint)</w:t>
            </w:r>
          </w:p>
        </w:tc>
      </w:tr>
      <w:tr>
        <w:tc>
          <w:tcPr>
            <w:tcW w:type="dxa" w:w="1234"/>
          </w:tcPr>
          <w:p>
            <w:r>
              <w:rPr>
                <w:rFonts w:ascii="Calibri" w:hAnsi="Calibri"/>
                <w:sz w:val="22"/>
              </w:rPr>
              <w:t>Non-GAAP EPS (Diluted)</w:t>
            </w:r>
          </w:p>
        </w:tc>
        <w:tc>
          <w:tcPr>
            <w:tcW w:type="dxa" w:w="1234"/>
          </w:tcPr>
          <w:p>
            <w:r>
              <w:rPr>
                <w:rFonts w:ascii="Calibri" w:hAnsi="Calibri"/>
                <w:sz w:val="22"/>
              </w:rPr>
              <w:t>$0.60</w:t>
            </w:r>
          </w:p>
        </w:tc>
        <w:tc>
          <w:tcPr>
            <w:tcW w:type="dxa" w:w="1234"/>
          </w:tcPr>
          <w:p>
            <w:r>
              <w:rPr>
                <w:rFonts w:ascii="Calibri" w:hAnsi="Calibri"/>
                <w:sz w:val="22"/>
              </w:rPr>
              <w:t>$0.46</w:t>
            </w:r>
          </w:p>
        </w:tc>
        <w:tc>
          <w:tcPr>
            <w:tcW w:type="dxa" w:w="1234"/>
          </w:tcPr>
          <w:p>
            <w:r>
              <w:rPr>
                <w:rFonts w:ascii="Calibri" w:hAnsi="Calibri"/>
                <w:sz w:val="22"/>
              </w:rPr>
              <w:t>$0.59</w:t>
            </w:r>
          </w:p>
        </w:tc>
        <w:tc>
          <w:tcPr>
            <w:tcW w:type="dxa" w:w="1234"/>
          </w:tcPr>
          <w:p>
            <w:r>
              <w:rPr>
                <w:rFonts w:ascii="Calibri" w:hAnsi="Calibri"/>
                <w:sz w:val="22"/>
              </w:rPr>
              <w:t>+28.3%</w:t>
            </w:r>
          </w:p>
        </w:tc>
        <w:tc>
          <w:tcPr>
            <w:tcW w:type="dxa" w:w="1234"/>
          </w:tcPr>
          <w:p>
            <w:r>
              <w:rPr>
                <w:rFonts w:ascii="Calibri" w:hAnsi="Calibri"/>
                <w:sz w:val="22"/>
              </w:rPr>
              <w:t>$0.57–$0.59</w:t>
            </w:r>
          </w:p>
        </w:tc>
        <w:tc>
          <w:tcPr>
            <w:tcW w:type="dxa" w:w="1234"/>
          </w:tcPr>
          <w:p>
            <w:r>
              <w:rPr>
                <w:rFonts w:ascii="Calibri" w:hAnsi="Calibri"/>
                <w:sz w:val="22"/>
              </w:rPr>
              <w:t>+0.0% (at top of range)</w:t>
            </w:r>
          </w:p>
        </w:tc>
      </w:tr>
      <w:tr>
        <w:tc>
          <w:tcPr>
            <w:tcW w:type="dxa" w:w="1234"/>
          </w:tcPr>
          <w:p>
            <w:r>
              <w:rPr>
                <w:rFonts w:ascii="Calibri" w:hAnsi="Calibri"/>
                <w:sz w:val="22"/>
              </w:rPr>
              <w:t>Dollar-Based Net Retention Rate (NRR)</w:t>
            </w:r>
          </w:p>
        </w:tc>
        <w:tc>
          <w:tcPr>
            <w:tcW w:type="dxa" w:w="1234"/>
          </w:tcPr>
          <w:p>
            <w:r>
              <w:rPr>
                <w:rFonts w:ascii="Calibri" w:hAnsi="Calibri"/>
                <w:sz w:val="22"/>
              </w:rPr>
              <w:t>~122% (low 120s)</w:t>
            </w:r>
          </w:p>
        </w:tc>
        <w:tc>
          <w:tcPr>
            <w:tcW w:type="dxa" w:w="1234"/>
          </w:tcPr>
          <w:p>
            <w:r>
              <w:rPr>
                <w:rFonts w:ascii="Calibri" w:hAnsi="Calibri"/>
                <w:sz w:val="22"/>
              </w:rPr>
              <w:t>120%</w:t>
            </w:r>
          </w:p>
        </w:tc>
        <w:tc>
          <w:tcPr>
            <w:tcW w:type="dxa" w:w="1234"/>
          </w:tcPr>
          <w:p>
            <w:r>
              <w:rPr>
                <w:rFonts w:ascii="Calibri" w:hAnsi="Calibri"/>
                <w:sz w:val="22"/>
              </w:rPr>
              <w:t>~122%</w:t>
            </w:r>
          </w:p>
        </w:tc>
        <w:tc>
          <w:tcPr>
            <w:tcW w:type="dxa" w:w="1234"/>
          </w:tcPr>
          <w:p>
            <w:r>
              <w:rPr>
                <w:rFonts w:ascii="Calibri" w:hAnsi="Calibri"/>
                <w:sz w:val="22"/>
              </w:rPr>
              <w:t>+~200 bps</w:t>
            </w:r>
          </w:p>
        </w:tc>
        <w:tc>
          <w:tcPr>
            <w:tcW w:type="dxa" w:w="1234"/>
          </w:tcPr>
          <w:p>
            <w:r>
              <w:rPr>
                <w:rFonts w:ascii="Calibri" w:hAnsi="Calibri"/>
                <w:sz w:val="22"/>
              </w:rPr>
              <w:t>No guidance provided</w:t>
            </w:r>
          </w:p>
        </w:tc>
        <w:tc>
          <w:tcPr>
            <w:tcW w:type="dxa" w:w="1234"/>
          </w:tcPr>
          <w:p>
            <w:r>
              <w:rPr>
                <w:rFonts w:ascii="Calibri" w:hAnsi="Calibri"/>
                <w:sz w:val="22"/>
              </w:rPr>
              <w:t>N/A</w:t>
            </w:r>
          </w:p>
        </w:tc>
      </w:tr>
      <w:tr>
        <w:tc>
          <w:tcPr>
            <w:tcW w:type="dxa" w:w="1234"/>
          </w:tcPr>
          <w:p>
            <w:r>
              <w:rPr>
                <w:rFonts w:ascii="Calibri" w:hAnsi="Calibri"/>
                <w:sz w:val="22"/>
              </w:rPr>
              <w:t>Customers with $100K+ ARR (#)</w:t>
            </w:r>
          </w:p>
        </w:tc>
        <w:tc>
          <w:tcPr>
            <w:tcW w:type="dxa" w:w="1234"/>
          </w:tcPr>
          <w:p>
            <w:r>
              <w:rPr>
                <w:rFonts w:ascii="Calibri" w:hAnsi="Calibri"/>
                <w:sz w:val="22"/>
              </w:rPr>
              <w:t>4,550</w:t>
            </w:r>
          </w:p>
        </w:tc>
        <w:tc>
          <w:tcPr>
            <w:tcW w:type="dxa" w:w="1234"/>
          </w:tcPr>
          <w:p>
            <w:r>
              <w:rPr>
                <w:rFonts w:ascii="Calibri" w:hAnsi="Calibri"/>
                <w:sz w:val="22"/>
              </w:rPr>
              <w:t>3,850</w:t>
            </w:r>
          </w:p>
        </w:tc>
        <w:tc>
          <w:tcPr>
            <w:tcW w:type="dxa" w:w="1234"/>
          </w:tcPr>
          <w:p>
            <w:r>
              <w:rPr>
                <w:rFonts w:ascii="Calibri" w:hAnsi="Calibri"/>
                <w:sz w:val="22"/>
              </w:rPr>
              <w:t>4,584</w:t>
            </w:r>
          </w:p>
        </w:tc>
        <w:tc>
          <w:tcPr>
            <w:tcW w:type="dxa" w:w="1234"/>
          </w:tcPr>
          <w:p>
            <w:r>
              <w:rPr>
                <w:rFonts w:ascii="Calibri" w:hAnsi="Calibri"/>
                <w:sz w:val="22"/>
              </w:rPr>
              <w:t>+19.1%</w:t>
            </w:r>
          </w:p>
        </w:tc>
        <w:tc>
          <w:tcPr>
            <w:tcW w:type="dxa" w:w="1234"/>
          </w:tcPr>
          <w:p>
            <w:r>
              <w:rPr>
                <w:rFonts w:ascii="Calibri" w:hAnsi="Calibri"/>
                <w:sz w:val="22"/>
              </w:rPr>
              <w:t>No guidance provided</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$289.1</w:t>
            </w:r>
          </w:p>
        </w:tc>
        <w:tc>
          <w:tcPr>
            <w:tcW w:type="dxa" w:w="1234"/>
          </w:tcPr>
          <w:p>
            <w:r>
              <w:rPr>
                <w:rFonts w:ascii="Calibri" w:hAnsi="Calibri"/>
                <w:sz w:val="22"/>
              </w:rPr>
              <w:t>$165.4</w:t>
            </w:r>
          </w:p>
        </w:tc>
        <w:tc>
          <w:tcPr>
            <w:tcW w:type="dxa" w:w="1234"/>
          </w:tcPr>
          <w:p>
            <w:r>
              <w:rPr>
                <w:rFonts w:ascii="Calibri" w:hAnsi="Calibri"/>
                <w:sz w:val="22"/>
              </w:rPr>
              <w:t>$221.6</w:t>
            </w:r>
          </w:p>
        </w:tc>
        <w:tc>
          <w:tcPr>
            <w:tcW w:type="dxa" w:w="1234"/>
          </w:tcPr>
          <w:p>
            <w:r>
              <w:rPr>
                <w:rFonts w:ascii="Calibri" w:hAnsi="Calibri"/>
                <w:sz w:val="22"/>
              </w:rPr>
              <w:t>+34.0%</w:t>
            </w:r>
          </w:p>
        </w:tc>
        <w:tc>
          <w:tcPr>
            <w:tcW w:type="dxa" w:w="1234"/>
          </w:tcPr>
          <w:p>
            <w:r>
              <w:rPr>
                <w:rFonts w:ascii="Calibri" w:hAnsi="Calibri"/>
                <w:sz w:val="22"/>
              </w:rPr>
              <w:t>No guidance provided</w:t>
            </w:r>
          </w:p>
        </w:tc>
        <w:tc>
          <w:tcPr>
            <w:tcW w:type="dxa" w:w="1234"/>
          </w:tcPr>
          <w:p>
            <w:r>
              <w:rPr>
                <w:rFonts w:ascii="Calibri" w:hAnsi="Calibri"/>
                <w:sz w:val="22"/>
              </w:rPr>
              <w:t>N/A</w:t>
            </w:r>
          </w:p>
        </w:tc>
      </w:tr>
    </w:tbl>
    <w:p>
      <w:r>
        <w:rPr>
          <w:rFonts w:ascii="Calibri" w:hAnsi="Calibri"/>
          <w:color w:val="525866"/>
          <w:sz w:val="22"/>
        </w:rPr>
        <w:t>Source: Visible Alpha Consensus and Actuals Data. Revenue, EPS, NRR, $100K+ customers, and FCF actuals and consensus estimates sourced from Visible Alpha. Q2 2026 guidance from DDOG Q1 2026 Earnings Call (May 7, 2026).</w:t>
      </w:r>
    </w:p>
    <w:p>
      <w:pPr>
        <w:pStyle w:val="Heading3"/>
      </w:pPr>
      <w:r>
        <w:rPr>
          <w:rFonts w:ascii="Calibri" w:hAnsi="Calibri"/>
          <w:b/>
          <w:color w:val="3B4259"/>
          <w:sz w:val="24"/>
        </w:rPr>
        <w:t>Table 2 — Beat/Miss History (Last 8 Quarters —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($M)</w:t>
            </w:r>
          </w:p>
        </w:tc>
        <w:tc>
          <w:tcPr>
            <w:tcW w:type="dxa" w:w="1440"/>
          </w:tcPr>
          <w:p>
            <w:r>
              <w:rPr>
                <w:rFonts w:ascii="Calibri" w:hAnsi="Calibri"/>
                <w:sz w:val="22"/>
              </w:rPr>
              <w:t>$1,006.4</w:t>
            </w:r>
          </w:p>
        </w:tc>
        <w:tc>
          <w:tcPr>
            <w:tcW w:type="dxa" w:w="1440"/>
          </w:tcPr>
          <w:p>
            <w:r>
              <w:rPr>
                <w:rFonts w:ascii="Calibri" w:hAnsi="Calibri"/>
                <w:sz w:val="22"/>
              </w:rPr>
              <w:t>$959.9</w:t>
            </w:r>
          </w:p>
        </w:tc>
        <w:tc>
          <w:tcPr>
            <w:tcW w:type="dxa" w:w="1440"/>
          </w:tcPr>
          <w:p>
            <w:r>
              <w:rPr>
                <w:rFonts w:ascii="Calibri" w:hAnsi="Calibri"/>
                <w:b/>
                <w:color w:val="30A46C"/>
                <w:sz w:val="22"/>
              </w:rPr>
              <w:t>+4.8%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$0.60</w:t>
            </w:r>
          </w:p>
        </w:tc>
        <w:tc>
          <w:tcPr>
            <w:tcW w:type="dxa" w:w="1440"/>
          </w:tcPr>
          <w:p>
            <w:r>
              <w:rPr>
                <w:rFonts w:ascii="Calibri" w:hAnsi="Calibri"/>
                <w:sz w:val="22"/>
              </w:rPr>
              <w:t>$0.51</w:t>
            </w:r>
          </w:p>
        </w:tc>
        <w:tc>
          <w:tcPr>
            <w:tcW w:type="dxa" w:w="1440"/>
          </w:tcPr>
          <w:p>
            <w:r>
              <w:rPr>
                <w:rFonts w:ascii="Calibri" w:hAnsi="Calibri"/>
                <w:b/>
                <w:color w:val="30A46C"/>
                <w:sz w:val="22"/>
              </w:rPr>
              <w:t>+17.6%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 ($M)</w:t>
            </w:r>
          </w:p>
        </w:tc>
        <w:tc>
          <w:tcPr>
            <w:tcW w:type="dxa" w:w="1440"/>
          </w:tcPr>
          <w:p>
            <w:r>
              <w:rPr>
                <w:rFonts w:ascii="Calibri" w:hAnsi="Calibri"/>
                <w:sz w:val="22"/>
              </w:rPr>
              <w:t>$953.2</w:t>
            </w:r>
          </w:p>
        </w:tc>
        <w:tc>
          <w:tcPr>
            <w:tcW w:type="dxa" w:w="1440"/>
          </w:tcPr>
          <w:p>
            <w:r>
              <w:rPr>
                <w:rFonts w:ascii="Calibri" w:hAnsi="Calibri"/>
                <w:sz w:val="22"/>
              </w:rPr>
              <w:t>$918.2</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$0.59</w:t>
            </w:r>
          </w:p>
        </w:tc>
        <w:tc>
          <w:tcPr>
            <w:tcW w:type="dxa" w:w="1440"/>
          </w:tcPr>
          <w:p>
            <w:r>
              <w:rPr>
                <w:rFonts w:ascii="Calibri" w:hAnsi="Calibri"/>
                <w:sz w:val="22"/>
              </w:rPr>
              <w:t>$0.56</w:t>
            </w:r>
          </w:p>
        </w:tc>
        <w:tc>
          <w:tcPr>
            <w:tcW w:type="dxa" w:w="1440"/>
          </w:tcPr>
          <w:p>
            <w:r>
              <w:rPr>
                <w:rFonts w:ascii="Calibri" w:hAnsi="Calibri"/>
                <w:b/>
                <w:color w:val="30A46C"/>
                <w:sz w:val="22"/>
              </w:rPr>
              <w:t>+5.4%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 ($M)</w:t>
            </w:r>
          </w:p>
        </w:tc>
        <w:tc>
          <w:tcPr>
            <w:tcW w:type="dxa" w:w="1440"/>
          </w:tcPr>
          <w:p>
            <w:r>
              <w:rPr>
                <w:rFonts w:ascii="Calibri" w:hAnsi="Calibri"/>
                <w:sz w:val="22"/>
              </w:rPr>
              <w:t>$885.7</w:t>
            </w:r>
          </w:p>
        </w:tc>
        <w:tc>
          <w:tcPr>
            <w:tcW w:type="dxa" w:w="1440"/>
          </w:tcPr>
          <w:p>
            <w:r>
              <w:rPr>
                <w:rFonts w:ascii="Calibri" w:hAnsi="Calibri"/>
                <w:sz w:val="22"/>
              </w:rPr>
              <w:t>$852.4</w:t>
            </w:r>
          </w:p>
        </w:tc>
        <w:tc>
          <w:tcPr>
            <w:tcW w:type="dxa" w:w="1440"/>
          </w:tcPr>
          <w:p>
            <w:r>
              <w:rPr>
                <w:rFonts w:ascii="Calibri" w:hAnsi="Calibri"/>
                <w:b/>
                <w:color w:val="30A46C"/>
                <w:sz w:val="22"/>
              </w:rPr>
              <w:t>+3.9%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$0.55</w:t>
            </w:r>
          </w:p>
        </w:tc>
        <w:tc>
          <w:tcPr>
            <w:tcW w:type="dxa" w:w="1440"/>
          </w:tcPr>
          <w:p>
            <w:r>
              <w:rPr>
                <w:rFonts w:ascii="Calibri" w:hAnsi="Calibri"/>
                <w:sz w:val="22"/>
              </w:rPr>
              <w:t>$0.46</w:t>
            </w:r>
          </w:p>
        </w:tc>
        <w:tc>
          <w:tcPr>
            <w:tcW w:type="dxa" w:w="1440"/>
          </w:tcPr>
          <w:p>
            <w:r>
              <w:rPr>
                <w:rFonts w:ascii="Calibri" w:hAnsi="Calibri"/>
                <w:b/>
                <w:color w:val="30A46C"/>
                <w:sz w:val="22"/>
              </w:rPr>
              <w:t>+19.6%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 ($M)</w:t>
            </w:r>
          </w:p>
        </w:tc>
        <w:tc>
          <w:tcPr>
            <w:tcW w:type="dxa" w:w="1440"/>
          </w:tcPr>
          <w:p>
            <w:r>
              <w:rPr>
                <w:rFonts w:ascii="Calibri" w:hAnsi="Calibri"/>
                <w:sz w:val="22"/>
              </w:rPr>
              <w:t>$826.8</w:t>
            </w:r>
          </w:p>
        </w:tc>
        <w:tc>
          <w:tcPr>
            <w:tcW w:type="dxa" w:w="1440"/>
          </w:tcPr>
          <w:p>
            <w:r>
              <w:rPr>
                <w:rFonts w:ascii="Calibri" w:hAnsi="Calibri"/>
                <w:sz w:val="22"/>
              </w:rPr>
              <w:t>$791.2</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$0.46</w:t>
            </w:r>
          </w:p>
        </w:tc>
        <w:tc>
          <w:tcPr>
            <w:tcW w:type="dxa" w:w="1440"/>
          </w:tcPr>
          <w:p>
            <w:r>
              <w:rPr>
                <w:rFonts w:ascii="Calibri" w:hAnsi="Calibri"/>
                <w:sz w:val="22"/>
              </w:rPr>
              <w:t>$0.41</w:t>
            </w:r>
          </w:p>
        </w:tc>
        <w:tc>
          <w:tcPr>
            <w:tcW w:type="dxa" w:w="1440"/>
          </w:tcPr>
          <w:p>
            <w:r>
              <w:rPr>
                <w:rFonts w:ascii="Calibri" w:hAnsi="Calibri"/>
                <w:b/>
                <w:color w:val="30A46C"/>
                <w:sz w:val="22"/>
              </w:rPr>
              <w:t>+12.2%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 ($M)</w:t>
            </w:r>
          </w:p>
        </w:tc>
        <w:tc>
          <w:tcPr>
            <w:tcW w:type="dxa" w:w="1440"/>
          </w:tcPr>
          <w:p>
            <w:r>
              <w:rPr>
                <w:rFonts w:ascii="Calibri" w:hAnsi="Calibri"/>
                <w:sz w:val="22"/>
              </w:rPr>
              <w:t>$761.6</w:t>
            </w:r>
          </w:p>
        </w:tc>
        <w:tc>
          <w:tcPr>
            <w:tcW w:type="dxa" w:w="1440"/>
          </w:tcPr>
          <w:p>
            <w:r>
              <w:rPr>
                <w:rFonts w:ascii="Calibri" w:hAnsi="Calibri"/>
                <w:sz w:val="22"/>
              </w:rPr>
              <w:t>$741.0</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$0.46</w:t>
            </w:r>
          </w:p>
        </w:tc>
        <w:tc>
          <w:tcPr>
            <w:tcW w:type="dxa" w:w="1440"/>
          </w:tcPr>
          <w:p>
            <w:r>
              <w:rPr>
                <w:rFonts w:ascii="Calibri" w:hAnsi="Calibri"/>
                <w:sz w:val="22"/>
              </w:rPr>
              <w:t>$0.43</w:t>
            </w:r>
          </w:p>
        </w:tc>
        <w:tc>
          <w:tcPr>
            <w:tcW w:type="dxa" w:w="1440"/>
          </w:tcPr>
          <w:p>
            <w:r>
              <w:rPr>
                <w:rFonts w:ascii="Calibri" w:hAnsi="Calibri"/>
                <w:b/>
                <w:color w:val="30A46C"/>
                <w:sz w:val="22"/>
              </w:rPr>
              <w:t>+7.0%</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 ($M)</w:t>
            </w:r>
          </w:p>
        </w:tc>
        <w:tc>
          <w:tcPr>
            <w:tcW w:type="dxa" w:w="1440"/>
          </w:tcPr>
          <w:p>
            <w:r>
              <w:rPr>
                <w:rFonts w:ascii="Calibri" w:hAnsi="Calibri"/>
                <w:sz w:val="22"/>
              </w:rPr>
              <w:t>$737.7</w:t>
            </w:r>
          </w:p>
        </w:tc>
        <w:tc>
          <w:tcPr>
            <w:tcW w:type="dxa" w:w="1440"/>
          </w:tcPr>
          <w:p>
            <w:r>
              <w:rPr>
                <w:rFonts w:ascii="Calibri" w:hAnsi="Calibri"/>
                <w:sz w:val="22"/>
              </w:rPr>
              <w:t>$715.2</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$0.49</w:t>
            </w:r>
          </w:p>
        </w:tc>
        <w:tc>
          <w:tcPr>
            <w:tcW w:type="dxa" w:w="1440"/>
          </w:tcPr>
          <w:p>
            <w:r>
              <w:rPr>
                <w:rFonts w:ascii="Calibri" w:hAnsi="Calibri"/>
                <w:sz w:val="22"/>
              </w:rPr>
              <w:t>$0.44</w:t>
            </w:r>
          </w:p>
        </w:tc>
        <w:tc>
          <w:tcPr>
            <w:tcW w:type="dxa" w:w="1440"/>
          </w:tcPr>
          <w:p>
            <w:r>
              <w:rPr>
                <w:rFonts w:ascii="Calibri" w:hAnsi="Calibri"/>
                <w:b/>
                <w:color w:val="30A46C"/>
                <w:sz w:val="22"/>
              </w:rPr>
              <w:t>+11.4%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 ($M)</w:t>
            </w:r>
          </w:p>
        </w:tc>
        <w:tc>
          <w:tcPr>
            <w:tcW w:type="dxa" w:w="1440"/>
          </w:tcPr>
          <w:p>
            <w:r>
              <w:rPr>
                <w:rFonts w:ascii="Calibri" w:hAnsi="Calibri"/>
                <w:sz w:val="22"/>
              </w:rPr>
              <w:t>$690.0</w:t>
            </w:r>
          </w:p>
        </w:tc>
        <w:tc>
          <w:tcPr>
            <w:tcW w:type="dxa" w:w="1440"/>
          </w:tcPr>
          <w:p>
            <w:r>
              <w:rPr>
                <w:rFonts w:ascii="Calibri" w:hAnsi="Calibri"/>
                <w:sz w:val="22"/>
              </w:rPr>
              <w:t>$664.7</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$0.46</w:t>
            </w:r>
          </w:p>
        </w:tc>
        <w:tc>
          <w:tcPr>
            <w:tcW w:type="dxa" w:w="1440"/>
          </w:tcPr>
          <w:p>
            <w:r>
              <w:rPr>
                <w:rFonts w:ascii="Calibri" w:hAnsi="Calibri"/>
                <w:sz w:val="22"/>
              </w:rPr>
              <w:t>$0.40</w:t>
            </w:r>
          </w:p>
        </w:tc>
        <w:tc>
          <w:tcPr>
            <w:tcW w:type="dxa" w:w="1440"/>
          </w:tcPr>
          <w:p>
            <w:r>
              <w:rPr>
                <w:rFonts w:ascii="Calibri" w:hAnsi="Calibri"/>
                <w:b/>
                <w:color w:val="30A46C"/>
                <w:sz w:val="22"/>
              </w:rPr>
              <w:t>+15.0%</w:t>
            </w:r>
          </w:p>
        </w:tc>
        <w:tc>
          <w:tcPr>
            <w:tcW w:type="dxa" w:w="1440"/>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color w:val="525866"/>
          <w:sz w:val="22"/>
        </w:rPr>
        <w:t>Pattern: DDOG has beaten consensus revenue in each of the last 8 quarters by an average of ~3.8%, and non-GAAP EPS by an average of ~12%; the Q1 2026 beat was the largest in recent history, raising the bar for Q2.</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May 7 earnings call, but management's tone at three investor conferences since then has been consistently and increasingly constructive — no red flags, and several incremental positives on AI demand and sales capacity.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$1,070M – $1,080M (29%–31% YoY)</w:t>
            </w:r>
          </w:p>
        </w:tc>
        <w:tc>
          <w:tcPr>
            <w:tcW w:type="dxa" w:w="1728"/>
          </w:tcPr>
          <w:p>
            <w:r>
              <w:rPr>
                <w:rFonts w:ascii="Calibri" w:hAnsi="Calibri"/>
                <w:sz w:val="22"/>
              </w:rPr>
              <w:t>—</w:t>
            </w:r>
          </w:p>
        </w:tc>
        <w:tc>
          <w:tcPr>
            <w:tcW w:type="dxa" w:w="1728"/>
          </w:tcPr>
          <w:p>
            <w:r>
              <w:rPr>
                <w:rFonts w:ascii="Calibri" w:hAnsi="Calibri"/>
                <w:sz w:val="22"/>
              </w:rPr>
              <w:t>$1,079.7M</w:t>
            </w:r>
          </w:p>
        </w:tc>
        <w:tc>
          <w:tcPr>
            <w:tcW w:type="dxa" w:w="1728"/>
          </w:tcPr>
          <w:p>
            <w:r>
              <w:rPr>
                <w:rFonts w:ascii="Calibri" w:hAnsi="Calibri"/>
                <w:sz w:val="22"/>
              </w:rPr>
              <w:t>No post-earnings revision; consensus at midpoint of range. CFO noted strong April trends and broad-based ARR adds.</w:t>
            </w:r>
          </w:p>
        </w:tc>
      </w:tr>
      <w:tr>
        <w:tc>
          <w:tcPr>
            <w:tcW w:type="dxa" w:w="1728"/>
          </w:tcPr>
          <w:p>
            <w:r>
              <w:rPr>
                <w:rFonts w:ascii="Calibri" w:hAnsi="Calibri"/>
                <w:sz w:val="22"/>
              </w:rPr>
              <w:t>Q2 2026 Non-GAAP Operating Income</w:t>
            </w:r>
          </w:p>
        </w:tc>
        <w:tc>
          <w:tcPr>
            <w:tcW w:type="dxa" w:w="1728"/>
          </w:tcPr>
          <w:p>
            <w:r>
              <w:rPr>
                <w:rFonts w:ascii="Calibri" w:hAnsi="Calibri"/>
                <w:sz w:val="22"/>
              </w:rPr>
              <w:t>$225M – $235M (21%–22% margin)</w:t>
            </w:r>
          </w:p>
        </w:tc>
        <w:tc>
          <w:tcPr>
            <w:tcW w:type="dxa" w:w="1728"/>
          </w:tcPr>
          <w:p>
            <w:r>
              <w:rPr>
                <w:rFonts w:ascii="Calibri" w:hAnsi="Calibri"/>
                <w:sz w:val="22"/>
              </w:rPr>
              <w:t>—</w:t>
            </w:r>
          </w:p>
        </w:tc>
        <w:tc>
          <w:tcPr>
            <w:tcW w:type="dxa" w:w="1728"/>
          </w:tcPr>
          <w:p>
            <w:r>
              <w:rPr>
                <w:rFonts w:ascii="Calibri" w:hAnsi="Calibri"/>
                <w:sz w:val="22"/>
              </w:rPr>
              <w:t>~$230M (implied)</w:t>
            </w:r>
          </w:p>
        </w:tc>
        <w:tc>
          <w:tcPr>
            <w:tcW w:type="dxa" w:w="1728"/>
          </w:tcPr>
          <w:p>
            <w:r>
              <w:rPr>
                <w:rFonts w:ascii="Calibri" w:hAnsi="Calibri"/>
                <w:sz w:val="22"/>
              </w:rPr>
              <w:t>Includes ~$15M DASH user conference cost. No revision.</w:t>
            </w:r>
          </w:p>
        </w:tc>
      </w:tr>
      <w:tr>
        <w:tc>
          <w:tcPr>
            <w:tcW w:type="dxa" w:w="1728"/>
          </w:tcPr>
          <w:p>
            <w:r>
              <w:rPr>
                <w:rFonts w:ascii="Calibri" w:hAnsi="Calibri"/>
                <w:sz w:val="22"/>
              </w:rPr>
              <w:t>Q2 2026 Non-GAAP EPS</w:t>
            </w:r>
          </w:p>
        </w:tc>
        <w:tc>
          <w:tcPr>
            <w:tcW w:type="dxa" w:w="1728"/>
          </w:tcPr>
          <w:p>
            <w:r>
              <w:rPr>
                <w:rFonts w:ascii="Calibri" w:hAnsi="Calibri"/>
                <w:sz w:val="22"/>
              </w:rPr>
              <w:t>$0.57 – $0.59 (~369M diluted shares)</w:t>
            </w:r>
          </w:p>
        </w:tc>
        <w:tc>
          <w:tcPr>
            <w:tcW w:type="dxa" w:w="1728"/>
          </w:tcPr>
          <w:p>
            <w:r>
              <w:rPr>
                <w:rFonts w:ascii="Calibri" w:hAnsi="Calibri"/>
                <w:sz w:val="22"/>
              </w:rPr>
              <w:t>—</w:t>
            </w:r>
          </w:p>
        </w:tc>
        <w:tc>
          <w:tcPr>
            <w:tcW w:type="dxa" w:w="1728"/>
          </w:tcPr>
          <w:p>
            <w:r>
              <w:rPr>
                <w:rFonts w:ascii="Calibri" w:hAnsi="Calibri"/>
                <w:sz w:val="22"/>
              </w:rPr>
              <w:t>$0.59</w:t>
            </w:r>
          </w:p>
        </w:tc>
        <w:tc>
          <w:tcPr>
            <w:tcW w:type="dxa" w:w="1728"/>
          </w:tcPr>
          <w:p>
            <w:r>
              <w:rPr>
                <w:rFonts w:ascii="Calibri" w:hAnsi="Calibri"/>
                <w:sz w:val="22"/>
              </w:rPr>
              <w:t>Consensus at top of guidance range. No revision.</w:t>
            </w:r>
          </w:p>
        </w:tc>
      </w:tr>
      <w:tr>
        <w:tc>
          <w:tcPr>
            <w:tcW w:type="dxa" w:w="1728"/>
          </w:tcPr>
          <w:p>
            <w:r>
              <w:rPr>
                <w:rFonts w:ascii="Calibri" w:hAnsi="Calibri"/>
                <w:sz w:val="22"/>
              </w:rPr>
              <w:t>FY 2026 Revenue</w:t>
            </w:r>
          </w:p>
        </w:tc>
        <w:tc>
          <w:tcPr>
            <w:tcW w:type="dxa" w:w="1728"/>
          </w:tcPr>
          <w:p>
            <w:r>
              <w:rPr>
                <w:rFonts w:ascii="Calibri" w:hAnsi="Calibri"/>
                <w:sz w:val="22"/>
              </w:rPr>
              <w:t>$4,300M – $4,340M (25%–27% YoY)</w:t>
            </w:r>
          </w:p>
        </w:tc>
        <w:tc>
          <w:tcPr>
            <w:tcW w:type="dxa" w:w="1728"/>
          </w:tcPr>
          <w:p>
            <w:r>
              <w:rPr>
                <w:rFonts w:ascii="Calibri" w:hAnsi="Calibri"/>
                <w:sz w:val="22"/>
              </w:rPr>
              <w:t>—</w:t>
            </w:r>
          </w:p>
        </w:tc>
        <w:tc>
          <w:tcPr>
            <w:tcW w:type="dxa" w:w="1728"/>
          </w:tcPr>
          <w:p>
            <w:r>
              <w:rPr>
                <w:rFonts w:ascii="Calibri" w:hAnsi="Calibri"/>
                <w:sz w:val="22"/>
              </w:rPr>
              <w:t>$4,356.8M</w:t>
            </w:r>
          </w:p>
        </w:tc>
        <w:tc>
          <w:tcPr>
            <w:tcW w:type="dxa" w:w="1728"/>
          </w:tcPr>
          <w:p>
            <w:r>
              <w:rPr>
                <w:rFonts w:ascii="Calibri" w:hAnsi="Calibri"/>
                <w:sz w:val="22"/>
              </w:rPr>
              <w:t>Consensus slightly above guidance midpoint ($4,320M), reflecting market expectation of continued beats.</w:t>
            </w:r>
          </w:p>
        </w:tc>
      </w:tr>
      <w:tr>
        <w:tc>
          <w:tcPr>
            <w:tcW w:type="dxa" w:w="1728"/>
          </w:tcPr>
          <w:p>
            <w:r>
              <w:rPr>
                <w:rFonts w:ascii="Calibri" w:hAnsi="Calibri"/>
                <w:sz w:val="22"/>
              </w:rPr>
              <w:t>FY 2026 Non-GAAP Operating Income</w:t>
            </w:r>
          </w:p>
        </w:tc>
        <w:tc>
          <w:tcPr>
            <w:tcW w:type="dxa" w:w="1728"/>
          </w:tcPr>
          <w:p>
            <w:r>
              <w:rPr>
                <w:rFonts w:ascii="Calibri" w:hAnsi="Calibri"/>
                <w:sz w:val="22"/>
              </w:rPr>
              <w:t>$940M – $980M (22%–23% margin)</w:t>
            </w:r>
          </w:p>
        </w:tc>
        <w:tc>
          <w:tcPr>
            <w:tcW w:type="dxa" w:w="1728"/>
          </w:tcPr>
          <w:p>
            <w:r>
              <w:rPr>
                <w:rFonts w:ascii="Calibri" w:hAnsi="Calibri"/>
                <w:sz w:val="22"/>
              </w:rPr>
              <w:t>—</w:t>
            </w:r>
          </w:p>
        </w:tc>
        <w:tc>
          <w:tcPr>
            <w:tcW w:type="dxa" w:w="1728"/>
          </w:tcPr>
          <w:p>
            <w:r>
              <w:rPr>
                <w:rFonts w:ascii="Calibri" w:hAnsi="Calibri"/>
                <w:sz w:val="22"/>
              </w:rPr>
              <w:t>~$960M (implied)</w:t>
            </w:r>
          </w:p>
        </w:tc>
        <w:tc>
          <w:tcPr>
            <w:tcW w:type="dxa" w:w="1728"/>
          </w:tcPr>
          <w:p>
            <w:r>
              <w:rPr>
                <w:rFonts w:ascii="Calibri" w:hAnsi="Calibri"/>
                <w:sz w:val="22"/>
              </w:rPr>
              <w:t>No revision. Guidance philosophy unchanged per CFO.</w:t>
            </w:r>
          </w:p>
        </w:tc>
      </w:tr>
      <w:tr>
        <w:tc>
          <w:tcPr>
            <w:tcW w:type="dxa" w:w="1728"/>
          </w:tcPr>
          <w:p>
            <w:r>
              <w:rPr>
                <w:rFonts w:ascii="Calibri" w:hAnsi="Calibri"/>
                <w:sz w:val="22"/>
              </w:rPr>
              <w:t>FY 2026 Non-GAAP EPS</w:t>
            </w:r>
          </w:p>
        </w:tc>
        <w:tc>
          <w:tcPr>
            <w:tcW w:type="dxa" w:w="1728"/>
          </w:tcPr>
          <w:p>
            <w:r>
              <w:rPr>
                <w:rFonts w:ascii="Calibri" w:hAnsi="Calibri"/>
                <w:sz w:val="22"/>
              </w:rPr>
              <w:t>$2.36 – $2.44 (~372M diluted shares)</w:t>
            </w:r>
          </w:p>
        </w:tc>
        <w:tc>
          <w:tcPr>
            <w:tcW w:type="dxa" w:w="1728"/>
          </w:tcPr>
          <w:p>
            <w:r>
              <w:rPr>
                <w:rFonts w:ascii="Calibri" w:hAnsi="Calibri"/>
                <w:sz w:val="22"/>
              </w:rPr>
              <w:t>—</w:t>
            </w:r>
          </w:p>
        </w:tc>
        <w:tc>
          <w:tcPr>
            <w:tcW w:type="dxa" w:w="1728"/>
          </w:tcPr>
          <w:p>
            <w:r>
              <w:rPr>
                <w:rFonts w:ascii="Calibri" w:hAnsi="Calibri"/>
                <w:sz w:val="22"/>
              </w:rPr>
              <w:t>$2.49</w:t>
            </w:r>
          </w:p>
        </w:tc>
        <w:tc>
          <w:tcPr>
            <w:tcW w:type="dxa" w:w="1728"/>
          </w:tcPr>
          <w:p>
            <w:r>
              <w:rPr>
                <w:rFonts w:ascii="Calibri" w:hAnsi="Calibri"/>
                <w:sz w:val="22"/>
              </w:rPr>
              <w:t>Consensus above guidance range, reflecting expected beats. No revision.</w:t>
            </w:r>
          </w:p>
        </w:tc>
      </w:tr>
    </w:tbl>
    <w:p>
      <w:r>
        <w:rPr>
          <w:rFonts w:ascii="Calibri" w:hAnsi="Calibri"/>
          <w:i/>
          <w:color w:val="525866"/>
          <w:sz w:val="22"/>
        </w:rPr>
        <w:t xml:space="preserve">Source: DDOG Q1 2026 Earnings Call transcript (May 7, 2026); Visible Alpha Consensus Data. </w:t>
      </w:r>
      <w:r>
        <w:rPr>
          <w:rFonts w:ascii="Calibri" w:hAnsi="Calibri"/>
          <w:color w:val="525866"/>
          <w:sz w:val="22"/>
        </w:rPr>
        <w:t>No formal guidance revision has been issued since the Q1 2026 earnings call. Management's tone at the BofA Global Technology Conference (June 3), JP Morgan TMC Conference (May 19), and Bernstein Strategic Decisions Conference (May 28) was consistently positive, with CFO Obstler describing a "good buying environment" and CEO Pomel reiterating the 5–10× long-term opportunity. The DASH user conference (~$15M cost) is already reflected in Q2 operating income guidance.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Q1 2026 print — Q2 revenue consensus is up ~12% and EPS up ~15% from the post-Q1 baseline — tracking well above the initial guidance midpoint and signaling the Street has already priced in a beat. The gap between consensus and guidance midpoint represents cushion, not risk, given DDOG's consistent beat history.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14,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Revenue — Q2 2026</w:t>
            </w:r>
          </w:p>
        </w:tc>
        <w:tc>
          <w:tcPr>
            <w:tcW w:type="dxa" w:w="1080"/>
          </w:tcPr>
          <w:p>
            <w:r>
              <w:rPr>
                <w:rFonts w:ascii="Calibri" w:hAnsi="Calibri"/>
                <w:sz w:val="22"/>
              </w:rPr>
              <w:t>$1,076.5M</w:t>
            </w:r>
          </w:p>
        </w:tc>
        <w:tc>
          <w:tcPr>
            <w:tcW w:type="dxa" w:w="1080"/>
          </w:tcPr>
          <w:p>
            <w:r>
              <w:rPr>
                <w:rFonts w:ascii="Calibri" w:hAnsi="Calibri"/>
                <w:sz w:val="22"/>
              </w:rPr>
              <w:t>$1,079.7M</w:t>
            </w:r>
          </w:p>
        </w:tc>
        <w:tc>
          <w:tcPr>
            <w:tcW w:type="dxa" w:w="1080"/>
          </w:tcPr>
          <w:p>
            <w:r>
              <w:rPr>
                <w:rFonts w:ascii="Calibri" w:hAnsi="Calibri"/>
                <w:sz w:val="22"/>
              </w:rPr>
              <w:t>+0.3%</w:t>
            </w:r>
          </w:p>
        </w:tc>
        <w:tc>
          <w:tcPr>
            <w:tcW w:type="dxa" w:w="1080"/>
          </w:tcPr>
          <w:p>
            <w:r>
              <w:rPr>
                <w:rFonts w:ascii="Calibri" w:hAnsi="Calibri"/>
                <w:sz w:val="22"/>
              </w:rPr>
              <w:t>$1,070–$1,080M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(at midpoint)</w:t>
            </w:r>
          </w:p>
        </w:tc>
      </w:tr>
      <w:tr>
        <w:tc>
          <w:tcPr>
            <w:tcW w:type="dxa" w:w="1080"/>
          </w:tcPr>
          <w:p>
            <w:r>
              <w:rPr>
                <w:rFonts w:ascii="Calibri" w:hAnsi="Calibri"/>
                <w:sz w:val="22"/>
              </w:rPr>
              <w:t>Non-GAAP EPS — Q2 2026</w:t>
            </w:r>
          </w:p>
        </w:tc>
        <w:tc>
          <w:tcPr>
            <w:tcW w:type="dxa" w:w="1080"/>
          </w:tcPr>
          <w:p>
            <w:r>
              <w:rPr>
                <w:rFonts w:ascii="Calibri" w:hAnsi="Calibri"/>
                <w:sz w:val="22"/>
              </w:rPr>
              <w:t>$0.585</w:t>
            </w:r>
          </w:p>
        </w:tc>
        <w:tc>
          <w:tcPr>
            <w:tcW w:type="dxa" w:w="1080"/>
          </w:tcPr>
          <w:p>
            <w:r>
              <w:rPr>
                <w:rFonts w:ascii="Calibri" w:hAnsi="Calibri"/>
                <w:sz w:val="22"/>
              </w:rPr>
              <w:t>$0.591</w:t>
            </w:r>
          </w:p>
        </w:tc>
        <w:tc>
          <w:tcPr>
            <w:tcW w:type="dxa" w:w="1080"/>
          </w:tcPr>
          <w:p>
            <w:r>
              <w:rPr>
                <w:rFonts w:ascii="Calibri" w:hAnsi="Calibri"/>
                <w:sz w:val="22"/>
              </w:rPr>
              <w:t>+1.0%</w:t>
            </w:r>
          </w:p>
        </w:tc>
        <w:tc>
          <w:tcPr>
            <w:tcW w:type="dxa" w:w="1080"/>
          </w:tcPr>
          <w:p>
            <w:r>
              <w:rPr>
                <w:rFonts w:ascii="Calibri" w:hAnsi="Calibri"/>
                <w:sz w:val="22"/>
              </w:rPr>
              <w:t>$0.57–$0.59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(at top of range)</w:t>
            </w:r>
          </w:p>
        </w:tc>
      </w:tr>
      <w:tr>
        <w:tc>
          <w:tcPr>
            <w:tcW w:type="dxa" w:w="1080"/>
          </w:tcPr>
          <w:p>
            <w:r>
              <w:rPr>
                <w:rFonts w:ascii="Calibri" w:hAnsi="Calibri"/>
                <w:sz w:val="22"/>
              </w:rPr>
              <w:t>Revenue — FY 2026</w:t>
            </w:r>
          </w:p>
        </w:tc>
        <w:tc>
          <w:tcPr>
            <w:tcW w:type="dxa" w:w="1080"/>
          </w:tcPr>
          <w:p>
            <w:r>
              <w:rPr>
                <w:rFonts w:ascii="Calibri" w:hAnsi="Calibri"/>
                <w:sz w:val="22"/>
              </w:rPr>
              <w:t>$4,343.0M</w:t>
            </w:r>
          </w:p>
        </w:tc>
        <w:tc>
          <w:tcPr>
            <w:tcW w:type="dxa" w:w="1080"/>
          </w:tcPr>
          <w:p>
            <w:r>
              <w:rPr>
                <w:rFonts w:ascii="Calibri" w:hAnsi="Calibri"/>
                <w:sz w:val="22"/>
              </w:rPr>
              <w:t>$4,356.8M</w:t>
            </w:r>
          </w:p>
        </w:tc>
        <w:tc>
          <w:tcPr>
            <w:tcW w:type="dxa" w:w="1080"/>
          </w:tcPr>
          <w:p>
            <w:r>
              <w:rPr>
                <w:rFonts w:ascii="Calibri" w:hAnsi="Calibri"/>
                <w:sz w:val="22"/>
              </w:rPr>
              <w:t>+0.3%</w:t>
            </w:r>
          </w:p>
        </w:tc>
        <w:tc>
          <w:tcPr>
            <w:tcW w:type="dxa" w:w="1080"/>
          </w:tcPr>
          <w:p>
            <w:r>
              <w:rPr>
                <w:rFonts w:ascii="Calibri" w:hAnsi="Calibri"/>
                <w:sz w:val="22"/>
              </w:rPr>
              <w:t>$4,300–$4,340M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midpoint</w:t>
            </w:r>
          </w:p>
        </w:tc>
      </w:tr>
      <w:tr>
        <w:tc>
          <w:tcPr>
            <w:tcW w:type="dxa" w:w="1080"/>
          </w:tcPr>
          <w:p>
            <w:r>
              <w:rPr>
                <w:rFonts w:ascii="Calibri" w:hAnsi="Calibri"/>
                <w:sz w:val="22"/>
              </w:rPr>
              <w:t>Non-GAAP EPS — FY 2026</w:t>
            </w:r>
          </w:p>
        </w:tc>
        <w:tc>
          <w:tcPr>
            <w:tcW w:type="dxa" w:w="1080"/>
          </w:tcPr>
          <w:p>
            <w:r>
              <w:rPr>
                <w:rFonts w:ascii="Calibri" w:hAnsi="Calibri"/>
                <w:sz w:val="22"/>
              </w:rPr>
              <w:t>$2.427</w:t>
            </w:r>
          </w:p>
        </w:tc>
        <w:tc>
          <w:tcPr>
            <w:tcW w:type="dxa" w:w="1080"/>
          </w:tcPr>
          <w:p>
            <w:r>
              <w:rPr>
                <w:rFonts w:ascii="Calibri" w:hAnsi="Calibri"/>
                <w:sz w:val="22"/>
              </w:rPr>
              <w:t>$2.488</w:t>
            </w:r>
          </w:p>
        </w:tc>
        <w:tc>
          <w:tcPr>
            <w:tcW w:type="dxa" w:w="1080"/>
          </w:tcPr>
          <w:p>
            <w:r>
              <w:rPr>
                <w:rFonts w:ascii="Calibri" w:hAnsi="Calibri"/>
                <w:sz w:val="22"/>
              </w:rPr>
              <w:t>+2.5%</w:t>
            </w:r>
          </w:p>
        </w:tc>
        <w:tc>
          <w:tcPr>
            <w:tcW w:type="dxa" w:w="1080"/>
          </w:tcPr>
          <w:p>
            <w:r>
              <w:rPr>
                <w:rFonts w:ascii="Calibri" w:hAnsi="Calibri"/>
                <w:sz w:val="22"/>
              </w:rPr>
              <w:t>$2.36–$2.44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+2.0% above midpoint</w:t>
            </w:r>
          </w:p>
        </w:tc>
      </w:tr>
    </w:tbl>
    <w:p>
      <w:r>
        <w:rPr>
          <w:rFonts w:ascii="Calibri" w:hAnsi="Calibri"/>
          <w:i/>
          <w:color w:val="525866"/>
          <w:sz w:val="22"/>
        </w:rPr>
        <w:t xml:space="preserve">Source: Visible Alpha Consensus and Actuals Data (as-of May 14, 2026 and current). </w:t>
      </w:r>
      <w:r>
        <w:rPr>
          <w:rFonts w:ascii="Calibri" w:hAnsi="Calibri"/>
          <w:color w:val="525866"/>
          <w:sz w:val="22"/>
        </w:rPr>
        <w:t>Estimates stabilized quickly after the Q1 beat — the large revision happened in the days immediately following the May 7 print. Since mid-May, estimates have drifted only modestly higher, suggesting the Street has largely digested the Q1 upside and is now waiting for Q2 results to re-rate further. FY 2026 consensus sits ~$37M above the guidance midpoint, consistent with the market pricing in one additional beat.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DDOG's ~50% rally since the Q1 2026 earnings print has been almost entirely multiple-driven — EV/EBITDA expanded from ~47× to ~81× over the past 3 months — meaning the stock has already priced in a significant re-rating; a beat is likely needed to sustain current levels, and any miss or guidance disappointment could be punished sharply.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DDOG vs. IGV (iShares Expanded Tech-Software ETF) vs. S&amp;P 500 — Indexed to 100 at Q1 2026 Earnings (May 7, 2026). Source: Yahoo Finance / Stock Price Data.</w:t>
      </w:r>
    </w:p>
    <w:p>
      <w:r>
        <w:rPr>
          <w:rFonts w:ascii="Calibri" w:hAnsi="Calibri"/>
          <w:color w:val="525866"/>
          <w:sz w:val="22"/>
        </w:rPr>
        <w:t xml:space="preserve">Since the Q1 2026 earnings print on May 7, DDOG has rallied approximately </w:t>
      </w:r>
      <w:r>
        <w:rPr>
          <w:rFonts w:ascii="Calibri" w:hAnsi="Calibri"/>
          <w:b/>
          <w:color w:val="525866"/>
          <w:sz w:val="22"/>
        </w:rPr>
        <w:t>+50%</w:t>
      </w:r>
      <w:r>
        <w:rPr>
          <w:rFonts w:ascii="Calibri" w:hAnsi="Calibri"/>
          <w:color w:val="525866"/>
          <w:sz w:val="22"/>
        </w:rPr>
        <w:t xml:space="preserve"> (from $188.73 to ~$283 as of August 5), dramatically outperforming both the iShares Expanded Tech-Software ETF (IGV, +12%) and the S&amp;P 500 (+5%). The stock surged sharply in the days immediately following the Q1 beat, reaching a peak near $277 by early June before pulling back to the $220–$235 range through mid-June to late June, then re-accelerating through July. The performance decomposition data confirms the rally has been almost entirely multiple-driven: NTM EV/EBITDA expanded from ~47× to ~81× over the past 3 months (+73%), while NTM EV/Sales expanded from ~11× to ~20× (+80%). At current levels, DDOG trades at approximately </w:t>
      </w:r>
      <w:r>
        <w:rPr>
          <w:rFonts w:ascii="Calibri" w:hAnsi="Calibri"/>
          <w:b/>
          <w:color w:val="525866"/>
          <w:sz w:val="22"/>
        </w:rPr>
        <w:t>20× NTM revenue and 81× NTM EBITDA</w:t>
      </w:r>
      <w:r>
        <w:rPr>
          <w:rFonts w:ascii="Calibri" w:hAnsi="Calibri"/>
          <w:color w:val="525866"/>
          <w:sz w:val="22"/>
        </w:rPr>
        <w:t xml:space="preserve"> — a premium that requires sustained 25%+ revenue growth and continued AI monetization to justify. The sector ETF used is IGV (iShares Expanded Tech-Software ETF), which is the most appropriate benchmark for a cloud-native SaaS observability company.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DASH user conference (June 2026), which served as a major AI product showcase and reinforced the company's platform narrative; no negative developments have emerged, and the news flow has been uniformly positive for the bull case.</w:t>
      </w:r>
    </w:p>
    <w:p>
      <w:pPr>
        <w:pStyle w:val="ListBullet"/>
        <w:ind w:left="360" w:hanging="360"/>
      </w:pPr>
      <w:r>
        <w:rPr>
          <w:rFonts w:ascii="Calibri" w:hAnsi="Calibri"/>
          <w:b/>
          <w:color w:val="525866"/>
          <w:sz w:val="22"/>
        </w:rPr>
        <w:t>August 5, 2026 — Datadog to Present at Upcoming Investor Conferences.</w:t>
      </w:r>
      <w:r>
        <w:rPr>
          <w:rFonts w:ascii="Calibri" w:hAnsi="Calibri"/>
          <w:color w:val="525866"/>
          <w:sz w:val="22"/>
        </w:rPr>
        <w:t xml:space="preserve"> Company announced upcoming conference appearances, signaling continued investor engagement ahead of earnings. Implication: management comfort with current trajectory.</w:t>
      </w:r>
    </w:p>
    <w:p>
      <w:pPr>
        <w:pStyle w:val="ListBullet"/>
        <w:ind w:left="360" w:hanging="360"/>
      </w:pPr>
      <w:r>
        <w:rPr>
          <w:rFonts w:ascii="Calibri" w:hAnsi="Calibri"/>
          <w:b/>
          <w:color w:val="525866"/>
          <w:sz w:val="22"/>
        </w:rPr>
        <w:t>July 16, 2026 — Q2 2026 Earnings Date Announced.</w:t>
      </w:r>
      <w:r>
        <w:rPr>
          <w:rFonts w:ascii="Calibri" w:hAnsi="Calibri"/>
          <w:color w:val="525866"/>
          <w:sz w:val="22"/>
        </w:rPr>
        <w:t xml:space="preserve"> Datadog confirmed August 6, 2026 pre-market earnings release with 8:00 a.m. ET conference call. No pre-announcement or guidance update accompanied the announcement — consistent with prior quarters.</w:t>
      </w:r>
    </w:p>
    <w:p>
      <w:pPr>
        <w:pStyle w:val="ListBullet"/>
        <w:ind w:left="360" w:hanging="360"/>
      </w:pPr>
      <w:r>
        <w:rPr>
          <w:rFonts w:ascii="Calibri" w:hAnsi="Calibri"/>
          <w:b/>
          <w:color w:val="525866"/>
          <w:sz w:val="22"/>
        </w:rPr>
        <w:t>June 16, 2026 — Shareholders Reject Simple Majority Voting Proposal (8-K).</w:t>
      </w:r>
      <w:r>
        <w:rPr>
          <w:rFonts w:ascii="Calibri" w:hAnsi="Calibri"/>
          <w:color w:val="525866"/>
          <w:sz w:val="22"/>
        </w:rPr>
        <w:t xml:space="preserve"> Governance-related; no financial or operational implications for the Q2 print.</w:t>
      </w:r>
    </w:p>
    <w:p>
      <w:pPr>
        <w:pStyle w:val="ListBullet"/>
        <w:ind w:left="360" w:hanging="360"/>
      </w:pPr>
      <w:r>
        <w:rPr>
          <w:rFonts w:ascii="Calibri" w:hAnsi="Calibri"/>
          <w:b/>
          <w:color w:val="525866"/>
          <w:sz w:val="22"/>
        </w:rPr>
        <w:t>June 3, 2026 — BofA Global Technology Conference.</w:t>
      </w:r>
      <w:r>
        <w:rPr>
          <w:rFonts w:ascii="Calibri" w:hAnsi="Calibri"/>
          <w:color w:val="525866"/>
          <w:sz w:val="22"/>
        </w:rPr>
        <w:t xml:space="preserve"> CFO David Obstler described a "</w:t>
      </w:r>
      <w:r>
        <w:rPr>
          <w:rFonts w:ascii="Calibri" w:hAnsi="Calibri"/>
          <w:b/>
          <w:color w:val="525866"/>
          <w:sz w:val="22"/>
        </w:rPr>
        <w:t>good buying environment</w:t>
      </w:r>
      <w:r>
        <w:rPr>
          <w:rFonts w:ascii="Calibri" w:hAnsi="Calibri"/>
          <w:color w:val="525866"/>
          <w:sz w:val="22"/>
        </w:rPr>
        <w:t xml:space="preserve">" and confirmed acceleration across AI-native and non-AI cohorts, geographies, and enterprise/SMB segments. Highlighted that hyperscalers adopting Datadog for AI training is a "seal of approval." Confirmed 2,000+ Bits SRE customers and 100,000+ investigations. Implication: </w:t>
      </w:r>
      <w:r>
        <w:rPr>
          <w:rFonts w:ascii="Calibri" w:hAnsi="Calibri"/>
          <w:b/>
          <w:color w:val="525866"/>
          <w:sz w:val="22"/>
        </w:rPr>
        <w:t>strong positive read-through for Q2 demand.</w:t>
      </w:r>
    </w:p>
    <w:p>
      <w:pPr>
        <w:pStyle w:val="ListBullet"/>
        <w:ind w:left="360" w:hanging="360"/>
      </w:pPr>
      <w:r>
        <w:rPr>
          <w:rFonts w:ascii="Calibri" w:hAnsi="Calibri"/>
          <w:b/>
          <w:color w:val="525866"/>
          <w:sz w:val="22"/>
        </w:rPr>
        <w:t>May 28, 2026 — Bernstein Strategic Decisions Conference.</w:t>
      </w:r>
      <w:r>
        <w:rPr>
          <w:rFonts w:ascii="Calibri" w:hAnsi="Calibri"/>
          <w:color w:val="525866"/>
          <w:sz w:val="22"/>
        </w:rPr>
        <w:t xml:space="preserve"> CEO Olivier Pomel reiterated 5–10× long-term opportunity from core observability alone, described AI as "</w:t>
      </w:r>
      <w:r>
        <w:rPr>
          <w:rFonts w:ascii="Calibri" w:hAnsi="Calibri"/>
          <w:b/>
          <w:color w:val="525866"/>
          <w:sz w:val="22"/>
        </w:rPr>
        <w:t>exploding</w:t>
      </w:r>
      <w:r>
        <w:rPr>
          <w:rFonts w:ascii="Calibri" w:hAnsi="Calibri"/>
          <w:color w:val="525866"/>
          <w:sz w:val="22"/>
        </w:rPr>
        <w:t xml:space="preserve">" and creating "so much more stuff, so much more complexity." Confirmed 14 of top 20 AI companies use Datadog. Highlighted usage-based model as a structural advantage in the AI era. Implication: </w:t>
      </w:r>
      <w:r>
        <w:rPr>
          <w:rFonts w:ascii="Calibri" w:hAnsi="Calibri"/>
          <w:b/>
          <w:color w:val="525866"/>
          <w:sz w:val="22"/>
        </w:rPr>
        <w:t>no change to guidance posture; incrementally positive on AI TAM.</w:t>
      </w:r>
    </w:p>
    <w:p>
      <w:pPr>
        <w:pStyle w:val="ListBullet"/>
        <w:ind w:left="360" w:hanging="360"/>
      </w:pPr>
      <w:r>
        <w:rPr>
          <w:rFonts w:ascii="Calibri" w:hAnsi="Calibri"/>
          <w:b/>
          <w:color w:val="525866"/>
          <w:sz w:val="22"/>
        </w:rPr>
        <w:t>May 19, 2026 — JP Morgan TMC Conference.</w:t>
      </w:r>
      <w:r>
        <w:rPr>
          <w:rFonts w:ascii="Calibri" w:hAnsi="Calibri"/>
          <w:color w:val="525866"/>
          <w:sz w:val="22"/>
        </w:rPr>
        <w:t xml:space="preserve"> CEO Pomel confirmed acceleration across every part of the business, noted training workloads as an "</w:t>
      </w:r>
      <w:r>
        <w:rPr>
          <w:rFonts w:ascii="Calibri" w:hAnsi="Calibri"/>
          <w:b/>
          <w:color w:val="525866"/>
          <w:sz w:val="22"/>
        </w:rPr>
        <w:t>interesting new green shoot</w:t>
      </w:r>
      <w:r>
        <w:rPr>
          <w:rFonts w:ascii="Calibri" w:hAnsi="Calibri"/>
          <w:color w:val="525866"/>
          <w:sz w:val="22"/>
        </w:rPr>
        <w:t xml:space="preserve">" and confirmed 22 AI-native customers spending &gt;$1M and 5 spending &gt;$10M annually. Described AI productivity gains as creating more complexity and therefore more demand for Datadog. Implication: </w:t>
      </w:r>
      <w:r>
        <w:rPr>
          <w:rFonts w:ascii="Calibri" w:hAnsi="Calibri"/>
          <w:b/>
          <w:color w:val="525866"/>
          <w:sz w:val="22"/>
        </w:rPr>
        <w:t>reaffirms Q2 demand trajectory.</w:t>
      </w:r>
    </w:p>
    <w:p>
      <w:pPr>
        <w:pStyle w:val="ListBullet"/>
        <w:ind w:left="360" w:hanging="360"/>
      </w:pPr>
      <w:r>
        <w:rPr>
          <w:rFonts w:ascii="Calibri" w:hAnsi="Calibri"/>
          <w:b/>
          <w:color w:val="525866"/>
          <w:sz w:val="22"/>
        </w:rPr>
        <w:t>May 7, 2026 — Q1 2026 Earnings Beat &amp; Guidance Raise.</w:t>
      </w:r>
      <w:r>
        <w:rPr>
          <w:rFonts w:ascii="Calibri" w:hAnsi="Calibri"/>
          <w:color w:val="525866"/>
          <w:sz w:val="22"/>
        </w:rPr>
        <w:t xml:space="preserve"> Revenue of $1.006B (+32% YoY) beat consensus by ~5%; non-GAAP EPS of $0.60 beat by ~18%. FY 2026 guidance raised materially. ARR crossed $4B; new logo bookings set all-time record. NRR improved to low 120s. Implication: </w:t>
      </w:r>
      <w:r>
        <w:rPr>
          <w:rFonts w:ascii="Calibri" w:hAnsi="Calibri"/>
          <w:b/>
          <w:color w:val="525866"/>
          <w:sz w:val="22"/>
        </w:rPr>
        <w:t>set a high bar for Q2 but also established strong momentum.</w:t>
      </w:r>
    </w:p>
    <w:p>
      <w:r>
        <w:br w:type="page"/>
      </w:r>
    </w:p>
    <w:p>
      <w:pPr>
        <w:pStyle w:val="Heading2"/>
      </w:pPr>
      <w:r>
        <w:rPr>
          <w:rFonts w:ascii="Calibri" w:hAnsi="Calibri"/>
          <w:b/>
          <w:color w:val="3B4259"/>
          <w:sz w:val="28"/>
        </w:rPr>
        <w:t>7. Peer Commentaries &amp; Current-Quarter Read-Through</w:t>
      </w:r>
    </w:p>
    <w:p>
      <w:r>
        <w:rPr>
          <w:rFonts w:ascii="Calibri" w:hAnsi="Calibri"/>
          <w:b/>
          <w:color w:val="525866"/>
          <w:sz w:val="22"/>
        </w:rPr>
        <w:t xml:space="preserve">Key Takeaway: </w:t>
      </w:r>
      <w:r>
        <w:rPr>
          <w:rFonts w:ascii="Calibri" w:hAnsi="Calibri"/>
          <w:color w:val="525866"/>
          <w:sz w:val="22"/>
        </w:rPr>
        <w:t>Every peer that reported in the last 60 days and commented on the quarter overlapping DDOG Q2 2026 (April–June / May–July 2026) described accelerating AI-driven cloud consumption, strong enterprise demand, and growing agentic workloads — a uniformly positive read-through for Datadog's Q2 results. The one nuance is GitLab's caution on the price-sensitive SMB cohort, which is less relevant given DDOG's enterprise concentration.</w:t>
      </w:r>
    </w:p>
    <w:p>
      <w:r>
        <w:rPr>
          <w:rFonts w:ascii="Calibri" w:hAnsi="Calibri"/>
          <w:b/>
          <w:i/>
          <w:color w:val="525866"/>
          <w:sz w:val="22"/>
        </w:rPr>
        <w:t xml:space="preserve">Note on methodology: </w:t>
      </w:r>
      <w:r>
        <w:rPr>
          <w:rFonts w:ascii="Calibri" w:hAnsi="Calibri"/>
          <w:i/>
          <w:color w:val="525866"/>
          <w:sz w:val="22"/>
        </w:rPr>
        <w:t>Only forward-looking commentary from peer earnings calls that specifically addresses the peer's then-current or upcoming quarter overlapping DDOG Q2 2026 (April–June 2026) is included below. Retrospective commentary about a peer's already-reported quarter is excluded.</w:t>
      </w:r>
    </w:p>
    <w:p>
      <w:pPr>
        <w:pStyle w:val="Heading3"/>
      </w:pPr>
      <w:r>
        <w:rPr>
          <w:rFonts w:ascii="Calibri" w:hAnsi="Calibri"/>
          <w:b/>
          <w:color w:val="3B4259"/>
          <w:sz w:val="24"/>
        </w:rPr>
        <w:t>CrowdStrike (CRWD) — Q1 FY2027 Earnings Call, June 3, 2026</w:t>
      </w:r>
    </w:p>
    <w:p>
      <w:r>
        <w:rPr>
          <w:rFonts w:ascii="Calibri" w:hAnsi="Calibri"/>
          <w:color w:val="525866"/>
          <w:sz w:val="22"/>
        </w:rPr>
        <w:t>Reporting period: FY Q1 (Feb–Apr 2026). Forward commentary covers Q2 FY2027 (May–Jul 2026), which overlaps DDOG Q2 2026.</w:t>
      </w:r>
    </w:p>
    <w:p>
      <w:pPr>
        <w:pStyle w:val="ListBullet"/>
        <w:ind w:left="360" w:hanging="360"/>
      </w:pPr>
      <w:r>
        <w:rPr>
          <w:rFonts w:ascii="Calibri" w:hAnsi="Calibri"/>
          <w:b/>
          <w:color w:val="525866"/>
          <w:sz w:val="22"/>
        </w:rPr>
        <w:t xml:space="preserve">AI demand inflection: </w:t>
      </w:r>
      <w:r>
        <w:rPr>
          <w:rFonts w:ascii="Calibri" w:hAnsi="Calibri"/>
          <w:color w:val="525866"/>
          <w:sz w:val="22"/>
        </w:rPr>
        <w:t>CEO George Kurtz described a "</w:t>
      </w:r>
      <w:r>
        <w:rPr>
          <w:rFonts w:ascii="Calibri" w:hAnsi="Calibri"/>
          <w:b/>
          <w:color w:val="525866"/>
          <w:sz w:val="22"/>
        </w:rPr>
        <w:t>crazy inflection point in the adoption of frontier models</w:t>
      </w:r>
      <w:r>
        <w:rPr>
          <w:rFonts w:ascii="Calibri" w:hAnsi="Calibri"/>
          <w:color w:val="525866"/>
          <w:sz w:val="22"/>
        </w:rPr>
        <w:t>" with token spend being "jaw-dropping." Massive adoption of AI agents began "in earnest towards the end of March" and intensified in April (the "Mythos moment"), leading to "incredible demand." This directly maps to the period DDOG is reporting on.</w:t>
      </w:r>
    </w:p>
    <w:p>
      <w:pPr>
        <w:pStyle w:val="ListBullet"/>
        <w:ind w:left="360" w:hanging="360"/>
      </w:pPr>
      <w:r>
        <w:rPr>
          <w:rFonts w:ascii="Calibri" w:hAnsi="Calibri"/>
          <w:b/>
          <w:color w:val="525866"/>
          <w:sz w:val="22"/>
        </w:rPr>
        <w:t xml:space="preserve">Greenfield attack surface explosion: </w:t>
      </w:r>
      <w:r>
        <w:rPr>
          <w:rFonts w:ascii="Calibri" w:hAnsi="Calibri"/>
          <w:color w:val="525866"/>
          <w:sz w:val="22"/>
        </w:rPr>
        <w:t xml:space="preserve">Kurtz described a boom in GPUs, data centers, hyperscalers, Neoclouds, token factories, and agentic applications — "every player in this value chain is experiencing hyper growth." Agentic workloads deployed inside virtual machines create greenfield demand for sensors and monitoring. </w:t>
      </w:r>
      <w:r>
        <w:rPr>
          <w:rFonts w:ascii="Calibri" w:hAnsi="Calibri"/>
          <w:b/>
          <w:color w:val="525866"/>
          <w:sz w:val="22"/>
        </w:rPr>
        <w:t>Read-through: directly positive for DDOG's infrastructure monitoring and AI observability products.</w:t>
      </w:r>
    </w:p>
    <w:p>
      <w:pPr>
        <w:pStyle w:val="ListBullet"/>
        <w:ind w:left="360" w:hanging="360"/>
      </w:pPr>
      <w:r>
        <w:rPr>
          <w:rFonts w:ascii="Calibri" w:hAnsi="Calibri"/>
          <w:b/>
          <w:color w:val="525866"/>
          <w:sz w:val="22"/>
        </w:rPr>
        <w:t xml:space="preserve">Record Q2 pipeline: </w:t>
      </w:r>
      <w:r>
        <w:rPr>
          <w:rFonts w:ascii="Calibri" w:hAnsi="Calibri"/>
          <w:color w:val="525866"/>
          <w:sz w:val="22"/>
        </w:rPr>
        <w:t xml:space="preserve">CFO Burt Podbere cited a "record Q2 pipeline" as the basis for raised FY27 guidance, with Q2 FY27 revenue guided to $1.436–$1.442B (+23% YoY). </w:t>
      </w:r>
      <w:r>
        <w:rPr>
          <w:rFonts w:ascii="Calibri" w:hAnsi="Calibri"/>
          <w:b/>
          <w:color w:val="525866"/>
          <w:sz w:val="22"/>
        </w:rPr>
        <w:t>Read-through: strong enterprise software demand environment heading into DDOG's Q2.</w:t>
      </w:r>
    </w:p>
    <w:p>
      <w:pPr>
        <w:pStyle w:val="ListBullet"/>
        <w:ind w:left="360" w:hanging="360"/>
      </w:pPr>
      <w:r>
        <w:rPr>
          <w:rFonts w:ascii="Calibri" w:hAnsi="Calibri"/>
          <w:b/>
          <w:color w:val="525866"/>
          <w:sz w:val="22"/>
        </w:rPr>
        <w:t xml:space="preserve">AI as critical infrastructure: </w:t>
      </w:r>
      <w:r>
        <w:rPr>
          <w:rFonts w:ascii="Calibri" w:hAnsi="Calibri"/>
          <w:color w:val="525866"/>
          <w:sz w:val="22"/>
        </w:rPr>
        <w:t>Kurtz stated "CrowdStrike is now being understood as critical AI infrastructure" — a framing that also applies to Datadog's observability platform. Cloud had "another strong quarter as enterprises continue securing their AI infrastructure."</w:t>
      </w:r>
    </w:p>
    <w:p>
      <w:pPr>
        <w:pStyle w:val="Heading3"/>
      </w:pPr>
      <w:r>
        <w:rPr>
          <w:rFonts w:ascii="Calibri" w:hAnsi="Calibri"/>
          <w:b/>
          <w:color w:val="3B4259"/>
          <w:sz w:val="24"/>
        </w:rPr>
        <w:t>Snowflake (SNOW) — Q1 FY2027 Earnings Call, May 27, 2026</w:t>
      </w:r>
    </w:p>
    <w:p>
      <w:r>
        <w:rPr>
          <w:rFonts w:ascii="Calibri" w:hAnsi="Calibri"/>
          <w:color w:val="525866"/>
          <w:sz w:val="22"/>
        </w:rPr>
        <w:t>Reporting period: FY Q1 (Feb–Apr 2026). Forward commentary covers Q2 FY2027 (May–Jul 2026), which overlaps DDOG Q2 2026.</w:t>
      </w:r>
    </w:p>
    <w:p>
      <w:pPr>
        <w:pStyle w:val="ListBullet"/>
        <w:ind w:left="360" w:hanging="360"/>
      </w:pPr>
      <w:r>
        <w:rPr>
          <w:rFonts w:ascii="Calibri" w:hAnsi="Calibri"/>
          <w:b/>
          <w:color w:val="525866"/>
          <w:sz w:val="22"/>
        </w:rPr>
        <w:t xml:space="preserve">AI accelerating core platform consumption: </w:t>
      </w:r>
      <w:r>
        <w:rPr>
          <w:rFonts w:ascii="Calibri" w:hAnsi="Calibri"/>
          <w:color w:val="525866"/>
          <w:sz w:val="22"/>
        </w:rPr>
        <w:t xml:space="preserve">CEO Sridhar Ramaswamy stated AI is "accelerating consumption in our core platform as customers migrate workloads to Snowflake faster." New AI products (Snowflake Intelligence, CoCo) are seeing "the fastest adoption of any new products in our history." Customers adopting CoCo are "growing even faster." </w:t>
      </w:r>
      <w:r>
        <w:rPr>
          <w:rFonts w:ascii="Calibri" w:hAnsi="Calibri"/>
          <w:b/>
          <w:color w:val="525866"/>
          <w:sz w:val="22"/>
        </w:rPr>
        <w:t>Read-through: AI-driven workload acceleration is a direct tailwind for DDOG's consumption-based model.</w:t>
      </w:r>
    </w:p>
    <w:p>
      <w:pPr>
        <w:pStyle w:val="ListBullet"/>
        <w:ind w:left="360" w:hanging="360"/>
      </w:pPr>
      <w:r>
        <w:rPr>
          <w:rFonts w:ascii="Calibri" w:hAnsi="Calibri"/>
          <w:b/>
          <w:color w:val="525866"/>
          <w:sz w:val="22"/>
        </w:rPr>
        <w:t xml:space="preserve">Guidance raised materially: </w:t>
      </w:r>
      <w:r>
        <w:rPr>
          <w:rFonts w:ascii="Calibri" w:hAnsi="Calibri"/>
          <w:color w:val="525866"/>
          <w:sz w:val="22"/>
        </w:rPr>
        <w:t xml:space="preserve">FY27 product revenue guidance raised from 27% to 31% YoY growth; Q2 FY27 product revenue guided to $1.415–$1.420B (+30% YoY). CFO Brian Robins confirmed "no changes to our forecast methodology or guidance philosophy" — the raise was based on observed behavior. </w:t>
      </w:r>
      <w:r>
        <w:rPr>
          <w:rFonts w:ascii="Calibri" w:hAnsi="Calibri"/>
          <w:b/>
          <w:color w:val="525866"/>
          <w:sz w:val="22"/>
        </w:rPr>
        <w:t>Read-through: the strongest possible signal that enterprise cloud demand is genuinely accelerating, not just a guidance philosophy change.</w:t>
      </w:r>
    </w:p>
    <w:p>
      <w:pPr>
        <w:pStyle w:val="ListBullet"/>
        <w:ind w:left="360" w:hanging="360"/>
      </w:pPr>
      <w:r>
        <w:rPr>
          <w:rFonts w:ascii="Calibri" w:hAnsi="Calibri"/>
          <w:b/>
          <w:color w:val="525866"/>
          <w:sz w:val="22"/>
        </w:rPr>
        <w:t xml:space="preserve">Workload deployment pace accelerating: </w:t>
      </w:r>
      <w:r>
        <w:rPr>
          <w:rFonts w:ascii="Calibri" w:hAnsi="Calibri"/>
          <w:color w:val="525866"/>
          <w:sz w:val="22"/>
        </w:rPr>
        <w:t xml:space="preserve">Use cases/projects deployed on Snowflake increased 114% YoY as customers moved more workloads into production. Customers are deploying and scaling workloads "at a faster pace." </w:t>
      </w:r>
      <w:r>
        <w:rPr>
          <w:rFonts w:ascii="Calibri" w:hAnsi="Calibri"/>
          <w:b/>
          <w:color w:val="525866"/>
          <w:sz w:val="22"/>
        </w:rPr>
        <w:t>Read-through: more production workloads = more monitoring surface area for DDOG.</w:t>
      </w:r>
    </w:p>
    <w:p>
      <w:pPr>
        <w:pStyle w:val="ListBullet"/>
        <w:ind w:left="360" w:hanging="360"/>
      </w:pPr>
      <w:r>
        <w:rPr>
          <w:rFonts w:ascii="Calibri" w:hAnsi="Calibri"/>
          <w:b/>
          <w:color w:val="525866"/>
          <w:sz w:val="22"/>
        </w:rPr>
        <w:t xml:space="preserve">AWS $6B partnership: </w:t>
      </w:r>
      <w:r>
        <w:rPr>
          <w:rFonts w:ascii="Calibri" w:hAnsi="Calibri"/>
          <w:color w:val="525866"/>
          <w:sz w:val="22"/>
        </w:rPr>
        <w:t xml:space="preserve">Snowflake announced a 5-year $6B contract with AWS to accelerate enterprise AI adoption. Snowflake surpassed $7B in lifetime AWS marketplace sales. </w:t>
      </w:r>
      <w:r>
        <w:rPr>
          <w:rFonts w:ascii="Calibri" w:hAnsi="Calibri"/>
          <w:b/>
          <w:color w:val="525866"/>
          <w:sz w:val="22"/>
        </w:rPr>
        <w:t>Read-through: massive cloud infrastructure investment signals a growing addressable market for DDOG's AWS-integrated monitoring platform.</w:t>
      </w:r>
    </w:p>
    <w:p>
      <w:pPr>
        <w:pStyle w:val="Heading3"/>
      </w:pPr>
      <w:r>
        <w:rPr>
          <w:rFonts w:ascii="Calibri" w:hAnsi="Calibri"/>
          <w:b/>
          <w:color w:val="3B4259"/>
          <w:sz w:val="24"/>
        </w:rPr>
        <w:t>MongoDB (MDB) — Q1 FY2027 Earnings Call, May 28, 2026</w:t>
      </w:r>
    </w:p>
    <w:p>
      <w:r>
        <w:rPr>
          <w:rFonts w:ascii="Calibri" w:hAnsi="Calibri"/>
          <w:color w:val="525866"/>
          <w:sz w:val="22"/>
        </w:rPr>
        <w:t>Reporting period: FY Q1 (Feb–Apr 2026). Forward commentary covers Q2 FY2027 (May–Jul 2026), which overlaps DDOG Q2 2026.</w:t>
      </w:r>
    </w:p>
    <w:p>
      <w:pPr>
        <w:pStyle w:val="ListBullet"/>
        <w:ind w:left="360" w:hanging="360"/>
      </w:pPr>
      <w:r>
        <w:rPr>
          <w:rFonts w:ascii="Calibri" w:hAnsi="Calibri"/>
          <w:b/>
          <w:color w:val="525866"/>
          <w:sz w:val="22"/>
        </w:rPr>
        <w:t xml:space="preserve">Strong Atlas growth with AI tailwinds: </w:t>
      </w:r>
      <w:r>
        <w:rPr>
          <w:rFonts w:ascii="Calibri" w:hAnsi="Calibri"/>
          <w:color w:val="525866"/>
          <w:sz w:val="22"/>
        </w:rPr>
        <w:t xml:space="preserve">Management guided Q2 FY27 Atlas revenue growth of ~26%, driven by "strength in core workloads as well as early AI tailwinds from both enterprise and AI-native customers." Total Q2 revenue guided to $729–$734M (+23–24% YoY). </w:t>
      </w:r>
      <w:r>
        <w:rPr>
          <w:rFonts w:ascii="Calibri" w:hAnsi="Calibri"/>
          <w:b/>
          <w:color w:val="525866"/>
          <w:sz w:val="22"/>
        </w:rPr>
        <w:t>Read-through: healthy consumption-based cloud growth environment for Q2.</w:t>
      </w:r>
    </w:p>
    <w:p>
      <w:pPr>
        <w:pStyle w:val="ListBullet"/>
        <w:ind w:left="360" w:hanging="360"/>
      </w:pPr>
      <w:r>
        <w:rPr>
          <w:rFonts w:ascii="Calibri" w:hAnsi="Calibri"/>
          <w:b/>
          <w:color w:val="525866"/>
          <w:sz w:val="22"/>
        </w:rPr>
        <w:t xml:space="preserve">AI and agentic workloads gaining momentum: </w:t>
      </w:r>
      <w:r>
        <w:rPr>
          <w:rFonts w:ascii="Calibri" w:hAnsi="Calibri"/>
          <w:color w:val="525866"/>
          <w:sz w:val="22"/>
        </w:rPr>
        <w:t xml:space="preserve">CEO Dev Ittycheria described "real and growing momentum from AI and agentic workloads" with enterprises moving "from experimentation into production." Management explicitly cited "security governance, observability" as key requirements for agents at scale. </w:t>
      </w:r>
      <w:r>
        <w:rPr>
          <w:rFonts w:ascii="Calibri" w:hAnsi="Calibri"/>
          <w:b/>
          <w:color w:val="525866"/>
          <w:sz w:val="22"/>
        </w:rPr>
        <w:t>Read-through: direct positive call-out for observability demand as agentic workloads scale.</w:t>
      </w:r>
    </w:p>
    <w:p>
      <w:pPr>
        <w:pStyle w:val="ListBullet"/>
        <w:ind w:left="360" w:hanging="360"/>
      </w:pPr>
      <w:r>
        <w:rPr>
          <w:rFonts w:ascii="Calibri" w:hAnsi="Calibri"/>
          <w:b/>
          <w:color w:val="525866"/>
          <w:sz w:val="22"/>
        </w:rPr>
        <w:t xml:space="preserve">Net ARR expansion rate improving: </w:t>
      </w:r>
      <w:r>
        <w:rPr>
          <w:rFonts w:ascii="Calibri" w:hAnsi="Calibri"/>
          <w:color w:val="525866"/>
          <w:sz w:val="22"/>
        </w:rPr>
        <w:t xml:space="preserve">Total company net ARR expansion rate was 121% vs. 119% a year ago, with $100K+ ARR customers growing 16% YoY. Platform adoption deepening (45% of $100K+ Atlas customers using 2+ features, up from 37%). </w:t>
      </w:r>
      <w:r>
        <w:rPr>
          <w:rFonts w:ascii="Calibri" w:hAnsi="Calibri"/>
          <w:b/>
          <w:color w:val="525866"/>
          <w:sz w:val="22"/>
        </w:rPr>
        <w:t>Read-through: land-and-expand dynamics remain healthy, consistent with DDOG's own NRR trajectory.</w:t>
      </w:r>
    </w:p>
    <w:p>
      <w:pPr>
        <w:pStyle w:val="Heading3"/>
      </w:pPr>
      <w:r>
        <w:rPr>
          <w:rFonts w:ascii="Calibri" w:hAnsi="Calibri"/>
          <w:b/>
          <w:color w:val="3B4259"/>
          <w:sz w:val="24"/>
        </w:rPr>
        <w:t>Elastic (ESTC) — Q4 FY2026 Earnings Call, May 28, 2026</w:t>
      </w:r>
    </w:p>
    <w:p>
      <w:r>
        <w:rPr>
          <w:rFonts w:ascii="Calibri" w:hAnsi="Calibri"/>
          <w:color w:val="525866"/>
          <w:sz w:val="22"/>
        </w:rPr>
        <w:t>Reporting period: FY Q4 (Feb–Apr 2026). Forward commentary covers Q1 FY2027 (May–Jul 2026), which overlaps DDOG Q2 2026.</w:t>
      </w:r>
    </w:p>
    <w:p>
      <w:pPr>
        <w:pStyle w:val="ListBullet"/>
        <w:ind w:left="360" w:hanging="360"/>
      </w:pPr>
      <w:r>
        <w:rPr>
          <w:rFonts w:ascii="Calibri" w:hAnsi="Calibri"/>
          <w:b/>
          <w:color w:val="525866"/>
          <w:sz w:val="22"/>
        </w:rPr>
        <w:t xml:space="preserve">AI cycle actively driving growth: </w:t>
      </w:r>
      <w:r>
        <w:rPr>
          <w:rFonts w:ascii="Calibri" w:hAnsi="Calibri"/>
          <w:color w:val="525866"/>
          <w:sz w:val="22"/>
        </w:rPr>
        <w:t xml:space="preserve">Management stated "the broader AI cycle is actively driving our growth" and believes AI adoption will be "universal, spanning across organizations of every scale." Over 600 customers with $100K+ ACV are using AI capabilities; AI-using customers are growing ~5% faster than the rest of the cohort. </w:t>
      </w:r>
      <w:r>
        <w:rPr>
          <w:rFonts w:ascii="Calibri" w:hAnsi="Calibri"/>
          <w:b/>
          <w:color w:val="525866"/>
          <w:sz w:val="22"/>
        </w:rPr>
        <w:t>Read-through: AI is a genuine, broad-based demand driver across enterprise software, not just a narrative.</w:t>
      </w:r>
    </w:p>
    <w:p>
      <w:pPr>
        <w:pStyle w:val="ListBullet"/>
        <w:ind w:left="360" w:hanging="360"/>
      </w:pPr>
      <w:r>
        <w:rPr>
          <w:rFonts w:ascii="Calibri" w:hAnsi="Calibri"/>
          <w:b/>
          <w:color w:val="525866"/>
          <w:sz w:val="22"/>
        </w:rPr>
        <w:t xml:space="preserve">Accelerating CRPO and RPO: </w:t>
      </w:r>
      <w:r>
        <w:rPr>
          <w:rFonts w:ascii="Calibri" w:hAnsi="Calibri"/>
          <w:color w:val="525866"/>
          <w:sz w:val="22"/>
        </w:rPr>
        <w:t xml:space="preserve">CRPO growth accelerated to 20% in Q4 FY26; RPO grew 28% YoY to $1.98B; noncurrent RPO grew 43% YoY, indicating deepening multi-year customer commitments. Added 30+ net new $1M+ ACV customers in FY26. </w:t>
      </w:r>
      <w:r>
        <w:rPr>
          <w:rFonts w:ascii="Calibri" w:hAnsi="Calibri"/>
          <w:b/>
          <w:color w:val="525866"/>
          <w:sz w:val="22"/>
        </w:rPr>
        <w:t>Read-through: enterprise customers are making larger, longer-term commitments to platform vendors — a positive signal for DDOG's enterprise expansion.</w:t>
      </w:r>
    </w:p>
    <w:p>
      <w:pPr>
        <w:pStyle w:val="ListBullet"/>
        <w:ind w:left="360" w:hanging="360"/>
      </w:pPr>
      <w:r>
        <w:rPr>
          <w:rFonts w:ascii="Calibri" w:hAnsi="Calibri"/>
          <w:b/>
          <w:color w:val="525866"/>
          <w:sz w:val="22"/>
        </w:rPr>
        <w:t xml:space="preserve">Competitive note — Prometheus metrics: </w:t>
      </w:r>
      <w:r>
        <w:rPr>
          <w:rFonts w:ascii="Calibri" w:hAnsi="Calibri"/>
          <w:color w:val="525866"/>
          <w:sz w:val="22"/>
        </w:rPr>
        <w:t xml:space="preserve">Elastic relaunched its metrics offering with native Prometheus support, claiming 30× faster query speeds. Management called this "TAM expansive" for Elastic in infrastructure monitoring. </w:t>
      </w:r>
      <w:r>
        <w:rPr>
          <w:rFonts w:ascii="Calibri" w:hAnsi="Calibri"/>
          <w:b/>
          <w:color w:val="525866"/>
          <w:sz w:val="22"/>
        </w:rPr>
        <w:t>Read-through: modest competitive pressure in the metrics/infrastructure monitoring segment where DDOG is a major player; worth monitoring but not a near-term threat.</w:t>
      </w:r>
    </w:p>
    <w:p>
      <w:pPr>
        <w:pStyle w:val="ListBullet"/>
        <w:ind w:left="360" w:hanging="360"/>
      </w:pPr>
      <w:r>
        <w:rPr>
          <w:rFonts w:ascii="Calibri" w:hAnsi="Calibri"/>
          <w:b/>
          <w:color w:val="525866"/>
          <w:sz w:val="22"/>
        </w:rPr>
        <w:t xml:space="preserve">Q1 FY27 guidance (May–Jul 2026): </w:t>
      </w:r>
      <w:r>
        <w:rPr>
          <w:rFonts w:ascii="Calibri" w:hAnsi="Calibri"/>
          <w:color w:val="525866"/>
          <w:sz w:val="22"/>
        </w:rPr>
        <w:t xml:space="preserve">Revenue guided to $469–$470M (+13% YoY); non-GAAP operating margin ~14%. Management noted Q1 FY27 will be the lowest growth quarter of FY27, with acceleration expected through the year. </w:t>
      </w:r>
      <w:r>
        <w:rPr>
          <w:rFonts w:ascii="Calibri" w:hAnsi="Calibri"/>
          <w:b/>
          <w:color w:val="525866"/>
          <w:sz w:val="22"/>
        </w:rPr>
        <w:t>Read-through: even the "trough" quarter for Elastic shows stable enterprise demand.</w:t>
      </w:r>
    </w:p>
    <w:p>
      <w:pPr>
        <w:pStyle w:val="Heading3"/>
      </w:pPr>
      <w:r>
        <w:rPr>
          <w:rFonts w:ascii="Calibri" w:hAnsi="Calibri"/>
          <w:b/>
          <w:color w:val="3B4259"/>
          <w:sz w:val="24"/>
        </w:rPr>
        <w:t>GitLab (GTLB) — Q1 FY2027 Earnings Call, June 2, 2026</w:t>
      </w:r>
    </w:p>
    <w:p>
      <w:r>
        <w:rPr>
          <w:rFonts w:ascii="Calibri" w:hAnsi="Calibri"/>
          <w:color w:val="525866"/>
          <w:sz w:val="22"/>
        </w:rPr>
        <w:t>Reporting period: FY Q1 (Feb–Apr 2026). Forward commentary covers Q2 FY2027 (May–Jul 2026), which overlaps DDOG Q2 2026.</w:t>
      </w:r>
    </w:p>
    <w:p>
      <w:pPr>
        <w:pStyle w:val="ListBullet"/>
        <w:ind w:left="360" w:hanging="360"/>
      </w:pPr>
      <w:r>
        <w:rPr>
          <w:rFonts w:ascii="Calibri" w:hAnsi="Calibri"/>
          <w:b/>
          <w:color w:val="525866"/>
          <w:sz w:val="22"/>
        </w:rPr>
        <w:t xml:space="preserve">Agentic era creating structural tailwinds: </w:t>
      </w:r>
      <w:r>
        <w:rPr>
          <w:rFonts w:ascii="Calibri" w:hAnsi="Calibri"/>
          <w:color w:val="525866"/>
          <w:sz w:val="22"/>
        </w:rPr>
        <w:t xml:space="preserve">CEO William Staples stated "the agentic era is creating structural tailwinds for DevSecOps platforms." Code pushes across paid SaaS customers are up 49% YoY; CI pipeline growth accelerated from mid-20s to 38% in April. </w:t>
      </w:r>
      <w:r>
        <w:rPr>
          <w:rFonts w:ascii="Calibri" w:hAnsi="Calibri"/>
          <w:b/>
          <w:color w:val="525866"/>
          <w:sz w:val="22"/>
        </w:rPr>
        <w:t>Read-through: surging developer activity and infrastructure load directly increases monitoring demand for DDOG.</w:t>
      </w:r>
    </w:p>
    <w:p>
      <w:pPr>
        <w:pStyle w:val="ListBullet"/>
        <w:ind w:left="360" w:hanging="360"/>
      </w:pPr>
      <w:r>
        <w:rPr>
          <w:rFonts w:ascii="Calibri" w:hAnsi="Calibri"/>
          <w:b/>
          <w:color w:val="525866"/>
          <w:sz w:val="22"/>
        </w:rPr>
        <w:t xml:space="preserve">Consumption business strong: </w:t>
      </w:r>
      <w:r>
        <w:rPr>
          <w:rFonts w:ascii="Calibri" w:hAnsi="Calibri"/>
          <w:color w:val="525866"/>
          <w:sz w:val="22"/>
        </w:rPr>
        <w:t xml:space="preserve">Duo Agent Platform (DAP) paid consumption run rate reached ~$20M in its first full quarter. GitLab's consumption business is "off to a really solid start." </w:t>
      </w:r>
      <w:r>
        <w:rPr>
          <w:rFonts w:ascii="Calibri" w:hAnsi="Calibri"/>
          <w:b/>
          <w:color w:val="525866"/>
          <w:sz w:val="22"/>
        </w:rPr>
        <w:t>Read-through: consumption-based AI monetization is gaining traction across the software stack, validating DDOG's usage-based model.</w:t>
      </w:r>
    </w:p>
    <w:p>
      <w:pPr>
        <w:pStyle w:val="ListBullet"/>
        <w:ind w:left="360" w:hanging="360"/>
      </w:pPr>
      <w:r>
        <w:rPr>
          <w:rFonts w:ascii="Calibri" w:hAnsi="Calibri"/>
          <w:b/>
          <w:color w:val="525866"/>
          <w:sz w:val="22"/>
        </w:rPr>
        <w:t xml:space="preserve">Caution on price-sensitive SMB cohort: </w:t>
      </w:r>
      <w:r>
        <w:rPr>
          <w:rFonts w:ascii="Calibri" w:hAnsi="Calibri"/>
          <w:color w:val="525866"/>
          <w:sz w:val="22"/>
        </w:rPr>
        <w:t xml:space="preserve">CFO Jessica Ross noted the price-sensitive cohort (~20% of ARR) "remained under pressure" and cited "accelerating layoffs concentrated in the tech sector and heightened customer caution." Q2 FY27 revenue guided to $272–$274M (+15–16% YoY). </w:t>
      </w:r>
      <w:r>
        <w:rPr>
          <w:rFonts w:ascii="Calibri" w:hAnsi="Calibri"/>
          <w:b/>
          <w:color w:val="525866"/>
          <w:sz w:val="22"/>
        </w:rPr>
        <w:t>Read-through: limited relevance for DDOG given its enterprise concentration (bottom half of 30,000+ customers = ~1% of revenue), but worth noting as a macro signal.</w:t>
      </w:r>
    </w:p>
    <w:p>
      <w:pPr>
        <w:pStyle w:val="ListBullet"/>
        <w:ind w:left="360" w:hanging="360"/>
      </w:pPr>
      <w:r>
        <w:rPr>
          <w:rFonts w:ascii="Calibri" w:hAnsi="Calibri"/>
          <w:b/>
          <w:color w:val="525866"/>
          <w:sz w:val="22"/>
        </w:rPr>
        <w:t xml:space="preserve">New logo growth strong: </w:t>
      </w:r>
      <w:r>
        <w:rPr>
          <w:rFonts w:ascii="Calibri" w:hAnsi="Calibri"/>
          <w:color w:val="525866"/>
          <w:sz w:val="22"/>
        </w:rPr>
        <w:t xml:space="preserve">30% higher new logo growth vs. prior year; highest absolute first-order count in 10 quarters. Dollar-based NRR of 117%; $100K+ customers grew 18% YoY. </w:t>
      </w:r>
      <w:r>
        <w:rPr>
          <w:rFonts w:ascii="Calibri" w:hAnsi="Calibri"/>
          <w:b/>
          <w:color w:val="525866"/>
          <w:sz w:val="22"/>
        </w:rPr>
        <w:t>Read-through: enterprise new logo momentum is healthy across the software sector.</w:t>
      </w:r>
    </w:p>
    <w:p>
      <w:pPr>
        <w:pStyle w:val="Heading3"/>
      </w:pPr>
      <w:r>
        <w:rPr>
          <w:rFonts w:ascii="Calibri" w:hAnsi="Calibri"/>
          <w:b/>
          <w:color w:val="3B4259"/>
          <w:sz w:val="24"/>
        </w:rPr>
        <w:t>Snowflake (SNOW) — Investor Day, June 2, 2026</w:t>
      </w:r>
    </w:p>
    <w:p>
      <w:pPr>
        <w:pStyle w:val="ListBullet"/>
        <w:ind w:left="360" w:hanging="360"/>
      </w:pPr>
      <w:r>
        <w:rPr>
          <w:rFonts w:ascii="Calibri" w:hAnsi="Calibri"/>
          <w:b/>
          <w:color w:val="525866"/>
          <w:sz w:val="22"/>
        </w:rPr>
        <w:t xml:space="preserve">Reinforced AI platform vision: </w:t>
      </w:r>
      <w:r>
        <w:rPr>
          <w:rFonts w:ascii="Calibri" w:hAnsi="Calibri"/>
          <w:color w:val="525866"/>
          <w:sz w:val="22"/>
        </w:rPr>
        <w:t xml:space="preserve">Snowflake's Investor Day reinforced the theme of AI driving accelerating cloud workload migration and consumption. Management described customers moving workloads to the cloud "with increasing urgency" driven by AI. </w:t>
      </w:r>
      <w:r>
        <w:rPr>
          <w:rFonts w:ascii="Calibri" w:hAnsi="Calibri"/>
          <w:b/>
          <w:color w:val="525866"/>
          <w:sz w:val="22"/>
        </w:rPr>
        <w:t>Read-through: consistent with the demand environment DDOG is operating in for Q2 2026.</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Date</w:t>
            </w:r>
          </w:p>
        </w:tc>
        <w:tc>
          <w:tcPr>
            <w:tcW w:type="dxa" w:w="1728"/>
            <w:shd w:val="clear" w:color="auto" w:fill="3B4259"/>
          </w:tcPr>
          <w:p>
            <w:r>
              <w:rPr>
                <w:rFonts w:ascii="Calibri" w:hAnsi="Calibri"/>
                <w:b/>
                <w:color w:val="FFFFFF"/>
                <w:sz w:val="22"/>
              </w:rPr>
              <w:t>Forward Quarter Covered</w:t>
            </w:r>
          </w:p>
        </w:tc>
        <w:tc>
          <w:tcPr>
            <w:tcW w:type="dxa" w:w="1728"/>
            <w:shd w:val="clear" w:color="auto" w:fill="3B4259"/>
          </w:tcPr>
          <w:p>
            <w:r>
              <w:rPr>
                <w:rFonts w:ascii="Calibri" w:hAnsi="Calibri"/>
                <w:b/>
                <w:color w:val="FFFFFF"/>
                <w:sz w:val="22"/>
              </w:rPr>
              <w:t>Key Signal for DDOG Q2</w:t>
            </w:r>
          </w:p>
        </w:tc>
        <w:tc>
          <w:tcPr>
            <w:tcW w:type="dxa" w:w="1728"/>
            <w:shd w:val="clear" w:color="auto" w:fill="3B4259"/>
          </w:tcPr>
          <w:p>
            <w:r>
              <w:rPr>
                <w:rFonts w:ascii="Calibri" w:hAnsi="Calibri"/>
                <w:b/>
                <w:color w:val="FFFFFF"/>
                <w:sz w:val="22"/>
              </w:rPr>
              <w:t>Read-Through Direction</w:t>
            </w:r>
          </w:p>
        </w:tc>
      </w:tr>
      <w:tr>
        <w:tc>
          <w:tcPr>
            <w:tcW w:type="dxa" w:w="1728"/>
          </w:tcPr>
          <w:p>
            <w:r>
              <w:rPr>
                <w:rFonts w:ascii="Calibri" w:hAnsi="Calibri"/>
                <w:sz w:val="22"/>
              </w:rPr>
              <w:t>CrowdStrike (CRWD)</w:t>
            </w:r>
          </w:p>
        </w:tc>
        <w:tc>
          <w:tcPr>
            <w:tcW w:type="dxa" w:w="1728"/>
          </w:tcPr>
          <w:p>
            <w:r>
              <w:rPr>
                <w:rFonts w:ascii="Calibri" w:hAnsi="Calibri"/>
                <w:sz w:val="22"/>
              </w:rPr>
              <w:t>June 3, 2026</w:t>
            </w:r>
          </w:p>
        </w:tc>
        <w:tc>
          <w:tcPr>
            <w:tcW w:type="dxa" w:w="1728"/>
          </w:tcPr>
          <w:p>
            <w:r>
              <w:rPr>
                <w:rFonts w:ascii="Calibri" w:hAnsi="Calibri"/>
                <w:sz w:val="22"/>
              </w:rPr>
              <w:t>Q2 FY27 (May–Jul 2026)</w:t>
            </w:r>
          </w:p>
        </w:tc>
        <w:tc>
          <w:tcPr>
            <w:tcW w:type="dxa" w:w="1728"/>
          </w:tcPr>
          <w:p>
            <w:r>
              <w:rPr>
                <w:rFonts w:ascii="Calibri" w:hAnsi="Calibri"/>
                <w:sz w:val="22"/>
              </w:rPr>
              <w:t>AI demand inflection; record Q2 pipeline; agentic workload explosion</w:t>
            </w:r>
          </w:p>
        </w:tc>
        <w:tc>
          <w:tcPr>
            <w:tcW w:type="dxa" w:w="1728"/>
          </w:tcPr>
          <w:p>
            <w:r>
              <w:rPr>
                <w:rFonts w:ascii="Calibri" w:hAnsi="Calibri"/>
                <w:b/>
                <w:color w:val="30A46C"/>
                <w:sz w:val="22"/>
              </w:rPr>
              <w:t>Strongly Positive</w:t>
            </w:r>
          </w:p>
        </w:tc>
      </w:tr>
      <w:tr>
        <w:tc>
          <w:tcPr>
            <w:tcW w:type="dxa" w:w="1728"/>
          </w:tcPr>
          <w:p>
            <w:r>
              <w:rPr>
                <w:rFonts w:ascii="Calibri" w:hAnsi="Calibri"/>
                <w:sz w:val="22"/>
              </w:rPr>
              <w:t>Snowflake (SNOW)</w:t>
            </w:r>
          </w:p>
        </w:tc>
        <w:tc>
          <w:tcPr>
            <w:tcW w:type="dxa" w:w="1728"/>
          </w:tcPr>
          <w:p>
            <w:r>
              <w:rPr>
                <w:rFonts w:ascii="Calibri" w:hAnsi="Calibri"/>
                <w:sz w:val="22"/>
              </w:rPr>
              <w:t>May 27, 2026</w:t>
            </w:r>
          </w:p>
        </w:tc>
        <w:tc>
          <w:tcPr>
            <w:tcW w:type="dxa" w:w="1728"/>
          </w:tcPr>
          <w:p>
            <w:r>
              <w:rPr>
                <w:rFonts w:ascii="Calibri" w:hAnsi="Calibri"/>
                <w:sz w:val="22"/>
              </w:rPr>
              <w:t>Q2 FY27 (May–Jul 2026)</w:t>
            </w:r>
          </w:p>
        </w:tc>
        <w:tc>
          <w:tcPr>
            <w:tcW w:type="dxa" w:w="1728"/>
          </w:tcPr>
          <w:p>
            <w:r>
              <w:rPr>
                <w:rFonts w:ascii="Calibri" w:hAnsi="Calibri"/>
                <w:sz w:val="22"/>
              </w:rPr>
              <w:t>Guidance raised; AI accelerating core consumption; 114% YoY workload growth</w:t>
            </w:r>
          </w:p>
        </w:tc>
        <w:tc>
          <w:tcPr>
            <w:tcW w:type="dxa" w:w="1728"/>
          </w:tcPr>
          <w:p>
            <w:r>
              <w:rPr>
                <w:rFonts w:ascii="Calibri" w:hAnsi="Calibri"/>
                <w:b/>
                <w:color w:val="30A46C"/>
                <w:sz w:val="22"/>
              </w:rPr>
              <w:t>Strongly Positive</w:t>
            </w:r>
          </w:p>
        </w:tc>
      </w:tr>
      <w:tr>
        <w:tc>
          <w:tcPr>
            <w:tcW w:type="dxa" w:w="1728"/>
          </w:tcPr>
          <w:p>
            <w:r>
              <w:rPr>
                <w:rFonts w:ascii="Calibri" w:hAnsi="Calibri"/>
                <w:sz w:val="22"/>
              </w:rPr>
              <w:t>MongoDB (MDB)</w:t>
            </w:r>
          </w:p>
        </w:tc>
        <w:tc>
          <w:tcPr>
            <w:tcW w:type="dxa" w:w="1728"/>
          </w:tcPr>
          <w:p>
            <w:r>
              <w:rPr>
                <w:rFonts w:ascii="Calibri" w:hAnsi="Calibri"/>
                <w:sz w:val="22"/>
              </w:rPr>
              <w:t>May 28, 2026</w:t>
            </w:r>
          </w:p>
        </w:tc>
        <w:tc>
          <w:tcPr>
            <w:tcW w:type="dxa" w:w="1728"/>
          </w:tcPr>
          <w:p>
            <w:r>
              <w:rPr>
                <w:rFonts w:ascii="Calibri" w:hAnsi="Calibri"/>
                <w:sz w:val="22"/>
              </w:rPr>
              <w:t>Q2 FY27 (May–Jul 2026)</w:t>
            </w:r>
          </w:p>
        </w:tc>
        <w:tc>
          <w:tcPr>
            <w:tcW w:type="dxa" w:w="1728"/>
          </w:tcPr>
          <w:p>
            <w:r>
              <w:rPr>
                <w:rFonts w:ascii="Calibri" w:hAnsi="Calibri"/>
                <w:sz w:val="22"/>
              </w:rPr>
              <w:t>Atlas +26% growth; AI/agentic momentum; observability cited as key requirement</w:t>
            </w:r>
          </w:p>
        </w:tc>
        <w:tc>
          <w:tcPr>
            <w:tcW w:type="dxa" w:w="1728"/>
          </w:tcPr>
          <w:p>
            <w:r>
              <w:rPr>
                <w:rFonts w:ascii="Calibri" w:hAnsi="Calibri"/>
                <w:b/>
                <w:color w:val="30A46C"/>
                <w:sz w:val="22"/>
              </w:rPr>
              <w:t>Positive</w:t>
            </w:r>
          </w:p>
        </w:tc>
      </w:tr>
      <w:tr>
        <w:tc>
          <w:tcPr>
            <w:tcW w:type="dxa" w:w="1728"/>
          </w:tcPr>
          <w:p>
            <w:r>
              <w:rPr>
                <w:rFonts w:ascii="Calibri" w:hAnsi="Calibri"/>
                <w:sz w:val="22"/>
              </w:rPr>
              <w:t>Elastic (ESTC)</w:t>
            </w:r>
          </w:p>
        </w:tc>
        <w:tc>
          <w:tcPr>
            <w:tcW w:type="dxa" w:w="1728"/>
          </w:tcPr>
          <w:p>
            <w:r>
              <w:rPr>
                <w:rFonts w:ascii="Calibri" w:hAnsi="Calibri"/>
                <w:sz w:val="22"/>
              </w:rPr>
              <w:t>May 28, 2026</w:t>
            </w:r>
          </w:p>
        </w:tc>
        <w:tc>
          <w:tcPr>
            <w:tcW w:type="dxa" w:w="1728"/>
          </w:tcPr>
          <w:p>
            <w:r>
              <w:rPr>
                <w:rFonts w:ascii="Calibri" w:hAnsi="Calibri"/>
                <w:sz w:val="22"/>
              </w:rPr>
              <w:t>Q1 FY27 (May–Jul 2026)</w:t>
            </w:r>
          </w:p>
        </w:tc>
        <w:tc>
          <w:tcPr>
            <w:tcW w:type="dxa" w:w="1728"/>
          </w:tcPr>
          <w:p>
            <w:r>
              <w:rPr>
                <w:rFonts w:ascii="Calibri" w:hAnsi="Calibri"/>
                <w:sz w:val="22"/>
              </w:rPr>
              <w:t>AI driving growth; CRPO +20%; minor competitive note on Prometheus metrics</w:t>
            </w:r>
          </w:p>
        </w:tc>
        <w:tc>
          <w:tcPr>
            <w:tcW w:type="dxa" w:w="1728"/>
          </w:tcPr>
          <w:p>
            <w:r>
              <w:rPr>
                <w:rFonts w:ascii="Calibri" w:hAnsi="Calibri"/>
                <w:b/>
                <w:color w:val="30A46C"/>
                <w:sz w:val="22"/>
              </w:rPr>
              <w:t>Positive (with minor caveat)</w:t>
            </w:r>
          </w:p>
        </w:tc>
      </w:tr>
      <w:tr>
        <w:tc>
          <w:tcPr>
            <w:tcW w:type="dxa" w:w="1728"/>
          </w:tcPr>
          <w:p>
            <w:r>
              <w:rPr>
                <w:rFonts w:ascii="Calibri" w:hAnsi="Calibri"/>
                <w:sz w:val="22"/>
              </w:rPr>
              <w:t>GitLab (GTLB)</w:t>
            </w:r>
          </w:p>
        </w:tc>
        <w:tc>
          <w:tcPr>
            <w:tcW w:type="dxa" w:w="1728"/>
          </w:tcPr>
          <w:p>
            <w:r>
              <w:rPr>
                <w:rFonts w:ascii="Calibri" w:hAnsi="Calibri"/>
                <w:sz w:val="22"/>
              </w:rPr>
              <w:t>June 2, 2026</w:t>
            </w:r>
          </w:p>
        </w:tc>
        <w:tc>
          <w:tcPr>
            <w:tcW w:type="dxa" w:w="1728"/>
          </w:tcPr>
          <w:p>
            <w:r>
              <w:rPr>
                <w:rFonts w:ascii="Calibri" w:hAnsi="Calibri"/>
                <w:sz w:val="22"/>
              </w:rPr>
              <w:t>Q2 FY27 (May–Jul 2026)</w:t>
            </w:r>
          </w:p>
        </w:tc>
        <w:tc>
          <w:tcPr>
            <w:tcW w:type="dxa" w:w="1728"/>
          </w:tcPr>
          <w:p>
            <w:r>
              <w:rPr>
                <w:rFonts w:ascii="Calibri" w:hAnsi="Calibri"/>
                <w:sz w:val="22"/>
              </w:rPr>
              <w:t>Agentic tailwinds; code push +49% YoY; SMB caution (limited DDOG relevance)</w:t>
            </w:r>
          </w:p>
        </w:tc>
        <w:tc>
          <w:tcPr>
            <w:tcW w:type="dxa" w:w="1728"/>
          </w:tcPr>
          <w:p>
            <w:r>
              <w:rPr>
                <w:rFonts w:ascii="Calibri" w:hAnsi="Calibri"/>
                <w:b/>
                <w:color w:val="30A46C"/>
                <w:sz w:val="22"/>
              </w:rPr>
              <w:t>Positive (enterprise); Neutral (SMB)</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Q1 2026 earnings print are sales, but </w:t>
      </w:r>
      <w:r>
        <w:rPr>
          <w:rFonts w:ascii="Calibri" w:hAnsi="Calibri"/>
          <w:b/>
          <w:color w:val="525866"/>
          <w:sz w:val="22"/>
        </w:rPr>
        <w:t>virtually all are under pre-established 10b5-1 plans</w:t>
      </w:r>
      <w:r>
        <w:rPr>
          <w:rFonts w:ascii="Calibri" w:hAnsi="Calibri"/>
          <w:color w:val="525866"/>
          <w:sz w:val="22"/>
        </w:rPr>
        <w:t xml:space="preserve"> — routine, obligation-driven, and not discretionary signals. The one exception is a small cluster of non-10b5-1 sales on June 2 (the day of the DASH conference) by multiple executives, which appears to be a scheduled RSU vesting event rather than a discretionary sell signal. No open-market buys have been filed.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Pomel, Olivier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127,141</w:t>
            </w:r>
          </w:p>
        </w:tc>
        <w:tc>
          <w:tcPr>
            <w:tcW w:type="dxa" w:w="1440"/>
          </w:tcPr>
          <w:p>
            <w:r>
              <w:rPr>
                <w:rFonts w:ascii="Calibri" w:hAnsi="Calibri"/>
                <w:sz w:val="22"/>
              </w:rPr>
              <w:t>Jul 13, 2026</w:t>
            </w:r>
          </w:p>
        </w:tc>
        <w:tc>
          <w:tcPr>
            <w:tcW w:type="dxa" w:w="1440"/>
          </w:tcPr>
          <w:p>
            <w:r>
              <w:rPr>
                <w:rFonts w:ascii="Calibri" w:hAnsi="Calibri"/>
                <w:sz w:val="22"/>
              </w:rPr>
              <w:t>Pre-planned; routine 10b5-1 plan (est. Dec 15, 2025)</w:t>
            </w:r>
          </w:p>
        </w:tc>
      </w:tr>
      <w:tr>
        <w:tc>
          <w:tcPr>
            <w:tcW w:type="dxa" w:w="1440"/>
          </w:tcPr>
          <w:p>
            <w:r>
              <w:rPr>
                <w:rFonts w:ascii="Calibri" w:hAnsi="Calibri"/>
                <w:sz w:val="22"/>
              </w:rPr>
              <w:t>Pomel, Olivier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47,054</w:t>
            </w:r>
          </w:p>
        </w:tc>
        <w:tc>
          <w:tcPr>
            <w:tcW w:type="dxa" w:w="1440"/>
          </w:tcPr>
          <w:p>
            <w:r>
              <w:rPr>
                <w:rFonts w:ascii="Calibri" w:hAnsi="Calibri"/>
                <w:sz w:val="22"/>
              </w:rPr>
              <w:t>Jul 23, 2026</w:t>
            </w:r>
          </w:p>
        </w:tc>
        <w:tc>
          <w:tcPr>
            <w:tcW w:type="dxa" w:w="1440"/>
          </w:tcPr>
          <w:p>
            <w:r>
              <w:rPr>
                <w:rFonts w:ascii="Calibri" w:hAnsi="Calibri"/>
                <w:sz w:val="22"/>
              </w:rPr>
              <w:t>Pre-planned; routine 10b5-1 plan</w:t>
            </w:r>
          </w:p>
        </w:tc>
      </w:tr>
      <w:tr>
        <w:tc>
          <w:tcPr>
            <w:tcW w:type="dxa" w:w="1440"/>
          </w:tcPr>
          <w:p>
            <w:r>
              <w:rPr>
                <w:rFonts w:ascii="Calibri" w:hAnsi="Calibri"/>
                <w:sz w:val="22"/>
              </w:rPr>
              <w:t>Pomel, Olivier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84,698</w:t>
            </w:r>
          </w:p>
        </w:tc>
        <w:tc>
          <w:tcPr>
            <w:tcW w:type="dxa" w:w="1440"/>
          </w:tcPr>
          <w:p>
            <w:r>
              <w:rPr>
                <w:rFonts w:ascii="Calibri" w:hAnsi="Calibri"/>
                <w:sz w:val="22"/>
              </w:rPr>
              <w:t>Jun 16, 2026</w:t>
            </w:r>
          </w:p>
        </w:tc>
        <w:tc>
          <w:tcPr>
            <w:tcW w:type="dxa" w:w="1440"/>
          </w:tcPr>
          <w:p>
            <w:r>
              <w:rPr>
                <w:rFonts w:ascii="Calibri" w:hAnsi="Calibri"/>
                <w:sz w:val="22"/>
              </w:rPr>
              <w:t>Pre-planned; routine 10b5-1 plan</w:t>
            </w:r>
          </w:p>
        </w:tc>
      </w:tr>
      <w:tr>
        <w:tc>
          <w:tcPr>
            <w:tcW w:type="dxa" w:w="1440"/>
          </w:tcPr>
          <w:p>
            <w:r>
              <w:rPr>
                <w:rFonts w:ascii="Calibri" w:hAnsi="Calibri"/>
                <w:sz w:val="22"/>
              </w:rPr>
              <w:t>Pomel, Olivier</w:t>
            </w:r>
          </w:p>
        </w:tc>
        <w:tc>
          <w:tcPr>
            <w:tcW w:type="dxa" w:w="1440"/>
          </w:tcPr>
          <w:p>
            <w:r>
              <w:rPr>
                <w:rFonts w:ascii="Calibri" w:hAnsi="Calibri"/>
                <w:sz w:val="22"/>
              </w:rPr>
              <w:t>CEO &amp; Director</w:t>
            </w:r>
          </w:p>
        </w:tc>
        <w:tc>
          <w:tcPr>
            <w:tcW w:type="dxa" w:w="1440"/>
          </w:tcPr>
          <w:p>
            <w:r>
              <w:rPr>
                <w:rFonts w:ascii="Calibri" w:hAnsi="Calibri"/>
                <w:sz w:val="22"/>
              </w:rPr>
              <w:t>Open Market Sale (non-10b5-1)</w:t>
            </w:r>
          </w:p>
        </w:tc>
        <w:tc>
          <w:tcPr>
            <w:tcW w:type="dxa" w:w="1440"/>
          </w:tcPr>
          <w:p>
            <w:r>
              <w:rPr>
                <w:rFonts w:ascii="Calibri" w:hAnsi="Calibri"/>
                <w:sz w:val="22"/>
              </w:rPr>
              <w:t>26,012</w:t>
            </w:r>
          </w:p>
        </w:tc>
        <w:tc>
          <w:tcPr>
            <w:tcW w:type="dxa" w:w="1440"/>
          </w:tcPr>
          <w:p>
            <w:r>
              <w:rPr>
                <w:rFonts w:ascii="Calibri" w:hAnsi="Calibri"/>
                <w:sz w:val="22"/>
              </w:rPr>
              <w:t>Jun 2, 2026</w:t>
            </w:r>
          </w:p>
        </w:tc>
        <w:tc>
          <w:tcPr>
            <w:tcW w:type="dxa" w:w="1440"/>
          </w:tcPr>
          <w:p>
            <w:r>
              <w:rPr>
                <w:rFonts w:ascii="Calibri" w:hAnsi="Calibri"/>
                <w:sz w:val="22"/>
              </w:rPr>
              <w:t>Non-10b5-1; likely RSU vesting event (same-day sales by multiple executives)</w:t>
            </w:r>
          </w:p>
        </w:tc>
      </w:tr>
      <w:tr>
        <w:tc>
          <w:tcPr>
            <w:tcW w:type="dxa" w:w="1440"/>
          </w:tcPr>
          <w:p>
            <w:r>
              <w:rPr>
                <w:rFonts w:ascii="Calibri" w:hAnsi="Calibri"/>
                <w:sz w:val="22"/>
              </w:rPr>
              <w:t>Pomel, Olivier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84,698</w:t>
            </w:r>
          </w:p>
        </w:tc>
        <w:tc>
          <w:tcPr>
            <w:tcW w:type="dxa" w:w="1440"/>
          </w:tcPr>
          <w:p>
            <w:r>
              <w:rPr>
                <w:rFonts w:ascii="Calibri" w:hAnsi="Calibri"/>
                <w:sz w:val="22"/>
              </w:rPr>
              <w:t>May 26, 2026</w:t>
            </w:r>
          </w:p>
        </w:tc>
        <w:tc>
          <w:tcPr>
            <w:tcW w:type="dxa" w:w="1440"/>
          </w:tcPr>
          <w:p>
            <w:r>
              <w:rPr>
                <w:rFonts w:ascii="Calibri" w:hAnsi="Calibri"/>
                <w:sz w:val="22"/>
              </w:rPr>
              <w:t>Pre-planned; routine 10b5-1 plan</w:t>
            </w:r>
          </w:p>
        </w:tc>
      </w:tr>
      <w:tr>
        <w:tc>
          <w:tcPr>
            <w:tcW w:type="dxa" w:w="1440"/>
          </w:tcPr>
          <w:p>
            <w:r>
              <w:rPr>
                <w:rFonts w:ascii="Calibri" w:hAnsi="Calibri"/>
                <w:sz w:val="22"/>
              </w:rPr>
              <w:t>Pomel, Olivier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127,141</w:t>
            </w:r>
          </w:p>
        </w:tc>
        <w:tc>
          <w:tcPr>
            <w:tcW w:type="dxa" w:w="1440"/>
          </w:tcPr>
          <w:p>
            <w:r>
              <w:rPr>
                <w:rFonts w:ascii="Calibri" w:hAnsi="Calibri"/>
                <w:sz w:val="22"/>
              </w:rPr>
              <w:t>May 11, 2026</w:t>
            </w:r>
          </w:p>
        </w:tc>
        <w:tc>
          <w:tcPr>
            <w:tcW w:type="dxa" w:w="1440"/>
          </w:tcPr>
          <w:p>
            <w:r>
              <w:rPr>
                <w:rFonts w:ascii="Calibri" w:hAnsi="Calibri"/>
                <w:sz w:val="22"/>
              </w:rPr>
              <w:t>Pre-planned; routine 10b5-1 plan</w:t>
            </w:r>
          </w:p>
        </w:tc>
      </w:tr>
      <w:tr>
        <w:tc>
          <w:tcPr>
            <w:tcW w:type="dxa" w:w="1440"/>
          </w:tcPr>
          <w:p>
            <w:r>
              <w:rPr>
                <w:rFonts w:ascii="Calibri" w:hAnsi="Calibri"/>
                <w:sz w:val="22"/>
              </w:rPr>
              <w:t>Le-Quoc, Alexis</w:t>
            </w:r>
          </w:p>
        </w:tc>
        <w:tc>
          <w:tcPr>
            <w:tcW w:type="dxa" w:w="1440"/>
          </w:tcPr>
          <w:p>
            <w:r>
              <w:rPr>
                <w:rFonts w:ascii="Calibri" w:hAnsi="Calibri"/>
                <w:sz w:val="22"/>
              </w:rPr>
              <w:t>CTO &amp; Director</w:t>
            </w:r>
          </w:p>
        </w:tc>
        <w:tc>
          <w:tcPr>
            <w:tcW w:type="dxa" w:w="1440"/>
          </w:tcPr>
          <w:p>
            <w:r>
              <w:rPr>
                <w:rFonts w:ascii="Calibri" w:hAnsi="Calibri"/>
                <w:sz w:val="22"/>
              </w:rPr>
              <w:t>10b5-1 Planned Sale</w:t>
            </w:r>
          </w:p>
        </w:tc>
        <w:tc>
          <w:tcPr>
            <w:tcW w:type="dxa" w:w="1440"/>
          </w:tcPr>
          <w:p>
            <w:r>
              <w:rPr>
                <w:rFonts w:ascii="Calibri" w:hAnsi="Calibri"/>
                <w:sz w:val="22"/>
              </w:rPr>
              <w:t>43,224</w:t>
            </w:r>
          </w:p>
        </w:tc>
        <w:tc>
          <w:tcPr>
            <w:tcW w:type="dxa" w:w="1440"/>
          </w:tcPr>
          <w:p>
            <w:r>
              <w:rPr>
                <w:rFonts w:ascii="Calibri" w:hAnsi="Calibri"/>
                <w:sz w:val="22"/>
              </w:rPr>
              <w:t>Jul 20, 2026</w:t>
            </w:r>
          </w:p>
        </w:tc>
        <w:tc>
          <w:tcPr>
            <w:tcW w:type="dxa" w:w="1440"/>
          </w:tcPr>
          <w:p>
            <w:r>
              <w:rPr>
                <w:rFonts w:ascii="Calibri" w:hAnsi="Calibri"/>
                <w:sz w:val="22"/>
              </w:rPr>
              <w:t>Pre-planned; routine 10b5-1 plan (est. Jun 13, 2025)</w:t>
            </w:r>
          </w:p>
        </w:tc>
      </w:tr>
      <w:tr>
        <w:tc>
          <w:tcPr>
            <w:tcW w:type="dxa" w:w="1440"/>
          </w:tcPr>
          <w:p>
            <w:r>
              <w:rPr>
                <w:rFonts w:ascii="Calibri" w:hAnsi="Calibri"/>
                <w:sz w:val="22"/>
              </w:rPr>
              <w:t>Le-Quoc, Alexis</w:t>
            </w:r>
          </w:p>
        </w:tc>
        <w:tc>
          <w:tcPr>
            <w:tcW w:type="dxa" w:w="1440"/>
          </w:tcPr>
          <w:p>
            <w:r>
              <w:rPr>
                <w:rFonts w:ascii="Calibri" w:hAnsi="Calibri"/>
                <w:sz w:val="22"/>
              </w:rPr>
              <w:t>CTO &amp; Director</w:t>
            </w:r>
          </w:p>
        </w:tc>
        <w:tc>
          <w:tcPr>
            <w:tcW w:type="dxa" w:w="1440"/>
          </w:tcPr>
          <w:p>
            <w:r>
              <w:rPr>
                <w:rFonts w:ascii="Calibri" w:hAnsi="Calibri"/>
                <w:sz w:val="22"/>
              </w:rPr>
              <w:t>10b5-1 Planned Sale</w:t>
            </w:r>
          </w:p>
        </w:tc>
        <w:tc>
          <w:tcPr>
            <w:tcW w:type="dxa" w:w="1440"/>
          </w:tcPr>
          <w:p>
            <w:r>
              <w:rPr>
                <w:rFonts w:ascii="Calibri" w:hAnsi="Calibri"/>
                <w:sz w:val="22"/>
              </w:rPr>
              <w:t>53,912</w:t>
            </w:r>
          </w:p>
        </w:tc>
        <w:tc>
          <w:tcPr>
            <w:tcW w:type="dxa" w:w="1440"/>
          </w:tcPr>
          <w:p>
            <w:r>
              <w:rPr>
                <w:rFonts w:ascii="Calibri" w:hAnsi="Calibri"/>
                <w:sz w:val="22"/>
              </w:rPr>
              <w:t>Jul 8, 2026</w:t>
            </w:r>
          </w:p>
        </w:tc>
        <w:tc>
          <w:tcPr>
            <w:tcW w:type="dxa" w:w="1440"/>
          </w:tcPr>
          <w:p>
            <w:r>
              <w:rPr>
                <w:rFonts w:ascii="Calibri" w:hAnsi="Calibri"/>
                <w:sz w:val="22"/>
              </w:rPr>
              <w:t>Pre-planned; routine 10b5-1 plan</w:t>
            </w:r>
          </w:p>
        </w:tc>
      </w:tr>
      <w:tr>
        <w:tc>
          <w:tcPr>
            <w:tcW w:type="dxa" w:w="1440"/>
          </w:tcPr>
          <w:p>
            <w:r>
              <w:rPr>
                <w:rFonts w:ascii="Calibri" w:hAnsi="Calibri"/>
                <w:sz w:val="22"/>
              </w:rPr>
              <w:t>Le-Quoc, Alexis</w:t>
            </w:r>
          </w:p>
        </w:tc>
        <w:tc>
          <w:tcPr>
            <w:tcW w:type="dxa" w:w="1440"/>
          </w:tcPr>
          <w:p>
            <w:r>
              <w:rPr>
                <w:rFonts w:ascii="Calibri" w:hAnsi="Calibri"/>
                <w:sz w:val="22"/>
              </w:rPr>
              <w:t>CTO &amp; Director</w:t>
            </w:r>
          </w:p>
        </w:tc>
        <w:tc>
          <w:tcPr>
            <w:tcW w:type="dxa" w:w="1440"/>
          </w:tcPr>
          <w:p>
            <w:r>
              <w:rPr>
                <w:rFonts w:ascii="Calibri" w:hAnsi="Calibri"/>
                <w:sz w:val="22"/>
              </w:rPr>
              <w:t>10b5-1 Planned Sale</w:t>
            </w:r>
          </w:p>
        </w:tc>
        <w:tc>
          <w:tcPr>
            <w:tcW w:type="dxa" w:w="1440"/>
          </w:tcPr>
          <w:p>
            <w:r>
              <w:rPr>
                <w:rFonts w:ascii="Calibri" w:hAnsi="Calibri"/>
                <w:sz w:val="22"/>
              </w:rPr>
              <w:t>43,224</w:t>
            </w:r>
          </w:p>
        </w:tc>
        <w:tc>
          <w:tcPr>
            <w:tcW w:type="dxa" w:w="1440"/>
          </w:tcPr>
          <w:p>
            <w:r>
              <w:rPr>
                <w:rFonts w:ascii="Calibri" w:hAnsi="Calibri"/>
                <w:sz w:val="22"/>
              </w:rPr>
              <w:t>Jun 22, 2026</w:t>
            </w:r>
          </w:p>
        </w:tc>
        <w:tc>
          <w:tcPr>
            <w:tcW w:type="dxa" w:w="1440"/>
          </w:tcPr>
          <w:p>
            <w:r>
              <w:rPr>
                <w:rFonts w:ascii="Calibri" w:hAnsi="Calibri"/>
                <w:sz w:val="22"/>
              </w:rPr>
              <w:t>Pre-planned; routine 10b5-1 plan</w:t>
            </w:r>
          </w:p>
        </w:tc>
      </w:tr>
      <w:tr>
        <w:tc>
          <w:tcPr>
            <w:tcW w:type="dxa" w:w="1440"/>
          </w:tcPr>
          <w:p>
            <w:r>
              <w:rPr>
                <w:rFonts w:ascii="Calibri" w:hAnsi="Calibri"/>
                <w:sz w:val="22"/>
              </w:rPr>
              <w:t>Obstler, David M.</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75,000</w:t>
            </w:r>
          </w:p>
        </w:tc>
        <w:tc>
          <w:tcPr>
            <w:tcW w:type="dxa" w:w="1440"/>
          </w:tcPr>
          <w:p>
            <w:r>
              <w:rPr>
                <w:rFonts w:ascii="Calibri" w:hAnsi="Calibri"/>
                <w:sz w:val="22"/>
              </w:rPr>
              <w:t>Jun 8, 2026</w:t>
            </w:r>
          </w:p>
        </w:tc>
        <w:tc>
          <w:tcPr>
            <w:tcW w:type="dxa" w:w="1440"/>
          </w:tcPr>
          <w:p>
            <w:r>
              <w:rPr>
                <w:rFonts w:ascii="Calibri" w:hAnsi="Calibri"/>
                <w:sz w:val="22"/>
              </w:rPr>
              <w:t>Pre-planned; routine 10b5-1 plan</w:t>
            </w:r>
          </w:p>
        </w:tc>
      </w:tr>
      <w:tr>
        <w:tc>
          <w:tcPr>
            <w:tcW w:type="dxa" w:w="1440"/>
          </w:tcPr>
          <w:p>
            <w:r>
              <w:rPr>
                <w:rFonts w:ascii="Calibri" w:hAnsi="Calibri"/>
                <w:sz w:val="22"/>
              </w:rPr>
              <w:t>Obstler, David M.</w:t>
            </w:r>
          </w:p>
        </w:tc>
        <w:tc>
          <w:tcPr>
            <w:tcW w:type="dxa" w:w="1440"/>
          </w:tcPr>
          <w:p>
            <w:r>
              <w:rPr>
                <w:rFonts w:ascii="Calibri" w:hAnsi="Calibri"/>
                <w:sz w:val="22"/>
              </w:rPr>
              <w:t>CFO</w:t>
            </w:r>
          </w:p>
        </w:tc>
        <w:tc>
          <w:tcPr>
            <w:tcW w:type="dxa" w:w="1440"/>
          </w:tcPr>
          <w:p>
            <w:r>
              <w:rPr>
                <w:rFonts w:ascii="Calibri" w:hAnsi="Calibri"/>
                <w:sz w:val="22"/>
              </w:rPr>
              <w:t>Open Market Sale (non-10b5-1)</w:t>
            </w:r>
          </w:p>
        </w:tc>
        <w:tc>
          <w:tcPr>
            <w:tcW w:type="dxa" w:w="1440"/>
          </w:tcPr>
          <w:p>
            <w:r>
              <w:rPr>
                <w:rFonts w:ascii="Calibri" w:hAnsi="Calibri"/>
                <w:sz w:val="22"/>
              </w:rPr>
              <w:t>16,323</w:t>
            </w:r>
          </w:p>
        </w:tc>
        <w:tc>
          <w:tcPr>
            <w:tcW w:type="dxa" w:w="1440"/>
          </w:tcPr>
          <w:p>
            <w:r>
              <w:rPr>
                <w:rFonts w:ascii="Calibri" w:hAnsi="Calibri"/>
                <w:sz w:val="22"/>
              </w:rPr>
              <w:t>Jun 2, 2026</w:t>
            </w:r>
          </w:p>
        </w:tc>
        <w:tc>
          <w:tcPr>
            <w:tcW w:type="dxa" w:w="1440"/>
          </w:tcPr>
          <w:p>
            <w:r>
              <w:rPr>
                <w:rFonts w:ascii="Calibri" w:hAnsi="Calibri"/>
                <w:sz w:val="22"/>
              </w:rPr>
              <w:t>Non-10b5-1; likely RSU vesting event (same-day cluster)</w:t>
            </w:r>
          </w:p>
        </w:tc>
      </w:tr>
      <w:tr>
        <w:tc>
          <w:tcPr>
            <w:tcW w:type="dxa" w:w="1440"/>
          </w:tcPr>
          <w:p>
            <w:r>
              <w:rPr>
                <w:rFonts w:ascii="Calibri" w:hAnsi="Calibri"/>
                <w:sz w:val="22"/>
              </w:rPr>
              <w:t>Agarwal, Amit</w:t>
            </w:r>
          </w:p>
        </w:tc>
        <w:tc>
          <w:tcPr>
            <w:tcW w:type="dxa" w:w="1440"/>
          </w:tcPr>
          <w:p>
            <w:r>
              <w:rPr>
                <w:rFonts w:ascii="Calibri" w:hAnsi="Calibri"/>
                <w:sz w:val="22"/>
              </w:rPr>
              <w:t>Director</w:t>
            </w:r>
          </w:p>
        </w:tc>
        <w:tc>
          <w:tcPr>
            <w:tcW w:type="dxa" w:w="1440"/>
          </w:tcPr>
          <w:p>
            <w:r>
              <w:rPr>
                <w:rFonts w:ascii="Calibri" w:hAnsi="Calibri"/>
                <w:sz w:val="22"/>
              </w:rPr>
              <w:t>10b5-1 Planned Sale (via Trust)</w:t>
            </w:r>
          </w:p>
        </w:tc>
        <w:tc>
          <w:tcPr>
            <w:tcW w:type="dxa" w:w="1440"/>
          </w:tcPr>
          <w:p>
            <w:r>
              <w:rPr>
                <w:rFonts w:ascii="Calibri" w:hAnsi="Calibri"/>
                <w:sz w:val="22"/>
              </w:rPr>
              <w:t>20,000 (per tranche)</w:t>
            </w:r>
          </w:p>
        </w:tc>
        <w:tc>
          <w:tcPr>
            <w:tcW w:type="dxa" w:w="1440"/>
          </w:tcPr>
          <w:p>
            <w:r>
              <w:rPr>
                <w:rFonts w:ascii="Calibri" w:hAnsi="Calibri"/>
                <w:sz w:val="22"/>
              </w:rPr>
              <w:t>Multiple dates (Jun–Jul 2026)</w:t>
            </w:r>
          </w:p>
        </w:tc>
        <w:tc>
          <w:tcPr>
            <w:tcW w:type="dxa" w:w="1440"/>
          </w:tcPr>
          <w:p>
            <w:r>
              <w:rPr>
                <w:rFonts w:ascii="Calibri" w:hAnsi="Calibri"/>
                <w:sz w:val="22"/>
              </w:rPr>
              <w:t>Recurring 20,000-share tranches; highly systematic 10b5-1 plan</w:t>
            </w:r>
          </w:p>
        </w:tc>
      </w:tr>
      <w:tr>
        <w:tc>
          <w:tcPr>
            <w:tcW w:type="dxa" w:w="1440"/>
          </w:tcPr>
          <w:p>
            <w:r>
              <w:rPr>
                <w:rFonts w:ascii="Calibri" w:hAnsi="Calibri"/>
                <w:sz w:val="22"/>
              </w:rPr>
              <w:t>Callahan, Michael James</w:t>
            </w:r>
          </w:p>
        </w:tc>
        <w:tc>
          <w:tcPr>
            <w:tcW w:type="dxa" w:w="1440"/>
          </w:tcPr>
          <w:p>
            <w:r>
              <w:rPr>
                <w:rFonts w:ascii="Calibri" w:hAnsi="Calibri"/>
                <w:sz w:val="22"/>
              </w:rPr>
              <w:t>Director</w:t>
            </w:r>
          </w:p>
        </w:tc>
        <w:tc>
          <w:tcPr>
            <w:tcW w:type="dxa" w:w="1440"/>
          </w:tcPr>
          <w:p>
            <w:r>
              <w:rPr>
                <w:rFonts w:ascii="Calibri" w:hAnsi="Calibri"/>
                <w:sz w:val="22"/>
              </w:rPr>
              <w:t>10b5-1 Planned Sale (via Trust)</w:t>
            </w:r>
          </w:p>
        </w:tc>
        <w:tc>
          <w:tcPr>
            <w:tcW w:type="dxa" w:w="1440"/>
          </w:tcPr>
          <w:p>
            <w:r>
              <w:rPr>
                <w:rFonts w:ascii="Calibri" w:hAnsi="Calibri"/>
                <w:sz w:val="22"/>
              </w:rPr>
              <w:t>12,500–112,500</w:t>
            </w:r>
          </w:p>
        </w:tc>
        <w:tc>
          <w:tcPr>
            <w:tcW w:type="dxa" w:w="1440"/>
          </w:tcPr>
          <w:p>
            <w:r>
              <w:rPr>
                <w:rFonts w:ascii="Calibri" w:hAnsi="Calibri"/>
                <w:sz w:val="22"/>
              </w:rPr>
              <w:t>Jun–Jul 2026</w:t>
            </w:r>
          </w:p>
        </w:tc>
        <w:tc>
          <w:tcPr>
            <w:tcW w:type="dxa" w:w="1440"/>
          </w:tcPr>
          <w:p>
            <w:r>
              <w:rPr>
                <w:rFonts w:ascii="Calibri" w:hAnsi="Calibri"/>
                <w:sz w:val="22"/>
              </w:rPr>
              <w:t>Pre-planned; routine 10b5-1 plan</w:t>
            </w:r>
          </w:p>
        </w:tc>
      </w:tr>
      <w:tr>
        <w:tc>
          <w:tcPr>
            <w:tcW w:type="dxa" w:w="1440"/>
          </w:tcPr>
          <w:p>
            <w:r>
              <w:rPr>
                <w:rFonts w:ascii="Calibri" w:hAnsi="Calibri"/>
                <w:sz w:val="22"/>
              </w:rPr>
              <w:t>Blitzer, Adam</w:t>
            </w:r>
          </w:p>
        </w:tc>
        <w:tc>
          <w:tcPr>
            <w:tcW w:type="dxa" w:w="1440"/>
          </w:tcPr>
          <w:p>
            <w:r>
              <w:rPr>
                <w:rFonts w:ascii="Calibri" w:hAnsi="Calibri"/>
                <w:sz w:val="22"/>
              </w:rPr>
              <w:t>COO</w:t>
            </w:r>
          </w:p>
        </w:tc>
        <w:tc>
          <w:tcPr>
            <w:tcW w:type="dxa" w:w="1440"/>
          </w:tcPr>
          <w:p>
            <w:r>
              <w:rPr>
                <w:rFonts w:ascii="Calibri" w:hAnsi="Calibri"/>
                <w:sz w:val="22"/>
              </w:rPr>
              <w:t>10b5-1 Planned Sale</w:t>
            </w:r>
          </w:p>
        </w:tc>
        <w:tc>
          <w:tcPr>
            <w:tcW w:type="dxa" w:w="1440"/>
          </w:tcPr>
          <w:p>
            <w:r>
              <w:rPr>
                <w:rFonts w:ascii="Calibri" w:hAnsi="Calibri"/>
                <w:sz w:val="22"/>
              </w:rPr>
              <w:t>13,642</w:t>
            </w:r>
          </w:p>
        </w:tc>
        <w:tc>
          <w:tcPr>
            <w:tcW w:type="dxa" w:w="1440"/>
          </w:tcPr>
          <w:p>
            <w:r>
              <w:rPr>
                <w:rFonts w:ascii="Calibri" w:hAnsi="Calibri"/>
                <w:sz w:val="22"/>
              </w:rPr>
              <w:t>Jun 2, 2026</w:t>
            </w:r>
          </w:p>
        </w:tc>
        <w:tc>
          <w:tcPr>
            <w:tcW w:type="dxa" w:w="1440"/>
          </w:tcPr>
          <w:p>
            <w:r>
              <w:rPr>
                <w:rFonts w:ascii="Calibri" w:hAnsi="Calibri"/>
                <w:sz w:val="22"/>
              </w:rPr>
              <w:t>Pre-planned; routine 10b5-1 plan</w:t>
            </w:r>
          </w:p>
        </w:tc>
      </w:tr>
      <w:tr>
        <w:tc>
          <w:tcPr>
            <w:tcW w:type="dxa" w:w="1440"/>
          </w:tcPr>
          <w:p>
            <w:r>
              <w:rPr>
                <w:rFonts w:ascii="Calibri" w:hAnsi="Calibri"/>
                <w:sz w:val="22"/>
              </w:rPr>
              <w:t>Walters, Sean Michael</w:t>
            </w:r>
          </w:p>
        </w:tc>
        <w:tc>
          <w:tcPr>
            <w:tcW w:type="dxa" w:w="1440"/>
          </w:tcPr>
          <w:p>
            <w:r>
              <w:rPr>
                <w:rFonts w:ascii="Calibri" w:hAnsi="Calibri"/>
                <w:sz w:val="22"/>
              </w:rPr>
              <w:t>Chief Revenue Officer</w:t>
            </w:r>
          </w:p>
        </w:tc>
        <w:tc>
          <w:tcPr>
            <w:tcW w:type="dxa" w:w="1440"/>
          </w:tcPr>
          <w:p>
            <w:r>
              <w:rPr>
                <w:rFonts w:ascii="Calibri" w:hAnsi="Calibri"/>
                <w:sz w:val="22"/>
              </w:rPr>
              <w:t>10b5-1 Planned Sale</w:t>
            </w:r>
          </w:p>
        </w:tc>
        <w:tc>
          <w:tcPr>
            <w:tcW w:type="dxa" w:w="1440"/>
          </w:tcPr>
          <w:p>
            <w:r>
              <w:rPr>
                <w:rFonts w:ascii="Calibri" w:hAnsi="Calibri"/>
                <w:sz w:val="22"/>
              </w:rPr>
              <w:t>11,876</w:t>
            </w:r>
          </w:p>
        </w:tc>
        <w:tc>
          <w:tcPr>
            <w:tcW w:type="dxa" w:w="1440"/>
          </w:tcPr>
          <w:p>
            <w:r>
              <w:rPr>
                <w:rFonts w:ascii="Calibri" w:hAnsi="Calibri"/>
                <w:sz w:val="22"/>
              </w:rPr>
              <w:t>Jun 11, 2026</w:t>
            </w:r>
          </w:p>
        </w:tc>
        <w:tc>
          <w:tcPr>
            <w:tcW w:type="dxa" w:w="1440"/>
          </w:tcPr>
          <w:p>
            <w:r>
              <w:rPr>
                <w:rFonts w:ascii="Calibri" w:hAnsi="Calibri"/>
                <w:sz w:val="22"/>
              </w:rPr>
              <w:t>Pre-planned; routine 10b5-1 plan</w:t>
            </w:r>
          </w:p>
        </w:tc>
      </w:tr>
    </w:tbl>
    <w:p>
      <w:r>
        <w:rPr>
          <w:rFonts w:ascii="Calibri" w:hAnsi="Calibri"/>
          <w:i/>
          <w:color w:val="525866"/>
          <w:sz w:val="22"/>
        </w:rPr>
        <w:t xml:space="preserve">Source: SEC Form 4 Filings Database (Insider Transaction Data). </w:t>
      </w:r>
      <w:r>
        <w:rPr>
          <w:rFonts w:ascii="Calibri" w:hAnsi="Calibri"/>
          <w:i/>
          <w:color w:val="525866"/>
          <w:sz w:val="22"/>
        </w:rPr>
        <w:t xml:space="preserve">The overwhelming majority of insider sales since the Q1 2026 earnings print are under pre-established 10b5-1 trading plans, making them obligation-driven rather than discretionary. The June 2 cluster of non-10b5-1 sales across multiple executives (Pomel, Obstler, Blitzer, Walters, Li, Galloreese, Acocella) is consistent with a scheduled RSU vesting event rather than a coordinated discretionary sell decision. Director Amit Agarwal's recurring 20,000-share tranches are highly systematic. </w:t>
      </w:r>
      <w:r>
        <w:rPr>
          <w:rFonts w:ascii="Calibri" w:hAnsi="Calibri"/>
          <w:b/>
          <w:i/>
          <w:color w:val="525866"/>
          <w:sz w:val="22"/>
        </w:rPr>
        <w:t>Overall assessment: no unusual or concerning insider activity; the pattern is consistent with normal executive compensation plan execution.</w:t>
      </w:r>
    </w:p>
    <w:p>
      <w:r>
        <w:br w:type="page"/>
      </w:r>
    </w:p>
    <w:p>
      <w:pPr>
        <w:pStyle w:val="Heading2"/>
      </w:pPr>
      <w:r>
        <w:rPr>
          <w:rFonts w:ascii="Calibri" w:hAnsi="Calibri"/>
          <w:b/>
          <w:color w:val="3B4259"/>
          <w:sz w:val="28"/>
        </w:rPr>
        <w:t>Disclosures &amp;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Revenue, EPS, NRR, $100K+ customers, FCF actuals and consensus estimates (IS, CF, SP datasets).</w:t>
      </w:r>
    </w:p>
    <w:p>
      <w:pPr>
        <w:pStyle w:val="ListBullet"/>
        <w:ind w:left="360" w:hanging="360"/>
      </w:pPr>
      <w:r>
        <w:rPr>
          <w:rFonts w:ascii="Calibri" w:hAnsi="Calibri"/>
          <w:b/>
          <w:color w:val="525866"/>
          <w:sz w:val="22"/>
        </w:rPr>
        <w:t>DDOG Q1 2026 Earnings Call Transcript</w:t>
      </w:r>
      <w:r>
        <w:rPr>
          <w:rFonts w:ascii="Calibri" w:hAnsi="Calibri"/>
          <w:color w:val="525866"/>
          <w:sz w:val="22"/>
        </w:rPr>
        <w:t xml:space="preserve"> (May 7, 2026) — Guidance, management commentary, KPI disclosures.</w:t>
      </w:r>
    </w:p>
    <w:p>
      <w:pPr>
        <w:pStyle w:val="ListBullet"/>
        <w:ind w:left="360" w:hanging="360"/>
      </w:pPr>
      <w:r>
        <w:rPr>
          <w:rFonts w:ascii="Calibri" w:hAnsi="Calibri"/>
          <w:b/>
          <w:color w:val="525866"/>
          <w:sz w:val="22"/>
        </w:rPr>
        <w:t>DDOG Q1 2026 Earnings Release / 8-K</w:t>
      </w:r>
      <w:r>
        <w:rPr>
          <w:rFonts w:ascii="Calibri" w:hAnsi="Calibri"/>
          <w:color w:val="525866"/>
          <w:sz w:val="22"/>
        </w:rPr>
        <w:t xml:space="preserve"> (May 7, 2026) — Financial results.</w:t>
      </w:r>
    </w:p>
    <w:p>
      <w:pPr>
        <w:pStyle w:val="ListBullet"/>
        <w:ind w:left="360" w:hanging="360"/>
      </w:pPr>
      <w:r>
        <w:rPr>
          <w:rFonts w:ascii="Calibri" w:hAnsi="Calibri"/>
          <w:b/>
          <w:color w:val="525866"/>
          <w:sz w:val="22"/>
        </w:rPr>
        <w:t>DDOG Conference Transcripts</w:t>
      </w:r>
      <w:r>
        <w:rPr>
          <w:rFonts w:ascii="Calibri" w:hAnsi="Calibri"/>
          <w:color w:val="525866"/>
          <w:sz w:val="22"/>
        </w:rPr>
        <w:t xml:space="preserve"> — BofA Global Technology Conference (Jun 3, 2026); JP Morgan TMC Conference (May 19, 2026); Bernstein Strategic Decisions Conference (May 28, 2026).</w:t>
      </w:r>
    </w:p>
    <w:p>
      <w:pPr>
        <w:pStyle w:val="ListBullet"/>
        <w:ind w:left="360" w:hanging="360"/>
      </w:pPr>
      <w:r>
        <w:rPr>
          <w:rFonts w:ascii="Calibri" w:hAnsi="Calibri"/>
          <w:b/>
          <w:color w:val="525866"/>
          <w:sz w:val="22"/>
        </w:rPr>
        <w:t>Peer Earnings Call Transcripts</w:t>
      </w:r>
      <w:r>
        <w:rPr>
          <w:rFonts w:ascii="Calibri" w:hAnsi="Calibri"/>
          <w:color w:val="525866"/>
          <w:sz w:val="22"/>
        </w:rPr>
        <w:t xml:space="preserve"> — CRWD Q1 FY27 (Jun 3, 2026); SNOW Q1 FY27 (May 27, 2026); SNOW Investor Day (Jun 2, 2026); MDB Q1 FY27 (May 28, 2026); ESTC Q4 FY26 (May 28, 2026); GTLB Q1 FY27 (Jun 2, 2026).</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Insider transaction data (SEC EDGAR).</w:t>
      </w:r>
    </w:p>
    <w:p>
      <w:pPr>
        <w:pStyle w:val="ListBullet"/>
        <w:ind w:left="360" w:hanging="360"/>
      </w:pPr>
      <w:r>
        <w:rPr>
          <w:rFonts w:ascii="Calibri" w:hAnsi="Calibri"/>
          <w:b/>
          <w:color w:val="525866"/>
          <w:sz w:val="22"/>
        </w:rPr>
        <w:t>Stock Price Data</w:t>
      </w:r>
      <w:r>
        <w:rPr>
          <w:rFonts w:ascii="Calibri" w:hAnsi="Calibri"/>
          <w:color w:val="525866"/>
          <w:sz w:val="22"/>
        </w:rPr>
        <w:t xml:space="preserve"> — Yahoo Finance. DDOG, IGV (iShares Expanded Tech-Software ETF), SPY (SPDR S&amp;P 500 ETF).</w:t>
      </w:r>
    </w:p>
    <w:p>
      <w:pPr>
        <w:pStyle w:val="ListBullet"/>
        <w:ind w:left="360" w:hanging="360"/>
      </w:pPr>
      <w:r>
        <w:rPr>
          <w:rFonts w:ascii="Calibri" w:hAnsi="Calibri"/>
          <w:b/>
          <w:color w:val="525866"/>
          <w:sz w:val="22"/>
        </w:rPr>
        <w:t>DDOG Press Releases</w:t>
      </w:r>
      <w:r>
        <w:rPr>
          <w:rFonts w:ascii="Calibri" w:hAnsi="Calibri"/>
          <w:color w:val="525866"/>
          <w:sz w:val="22"/>
        </w:rPr>
        <w:t xml:space="preserve"> — Earnings date announcement (Jul 16, 2026); conference schedule (Aug 5,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