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f3bc2dded3122cae381249ab7914dd1fcf9bc8"/>
    <w:p>
      <w:pPr>
        <w:pStyle w:val="Heading1"/>
      </w:pPr>
      <w:r>
        <w:t xml:space="preserve">Disney (DIS) — Fiscal Q3 2026 Earnings Preview</w:t>
      </w:r>
    </w:p>
    <w:bookmarkStart w:id="9" w:name="Xbca6cd3968f78905c9210d9e0404f9b21dddd12"/>
    <w:p>
      <w:pPr>
        <w:pStyle w:val="Heading3"/>
      </w:pPr>
      <w:r>
        <w:t xml:space="preserve">Reports Wednesday, August 5, 2026 (before market open) | FQ3 ended ~June 27, 2026</w:t>
      </w:r>
    </w:p>
    <w:p>
      <w:r>
        <w:pict>
          <v:rect style="width:0;height:1.5pt" o:hralign="center" o:hrstd="t" o:hr="t"/>
        </w:pic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Disney enters this print as a "prove it" story: the stock is near 52-week lows and down roughly 12% YTD (closing **</w:t>
      </w:r>
      <m:oMath>
        <m:r>
          <m:t>98.20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n</m:t>
        </m:r>
        <m:r>
          <m:t>A</m:t>
        </m:r>
        <m:r>
          <m:t>u</m:t>
        </m:r>
        <m:r>
          <m:t>g</m:t>
        </m:r>
        <m:r>
          <m:t>4</m:t>
        </m:r>
        <m:r>
          <m:t>v</m:t>
        </m:r>
        <m:r>
          <m:t>s</m:t>
        </m:r>
        <m:r>
          <m:rPr>
            <m:sty m:val="p"/>
          </m:rPr>
          <m:t>.</m:t>
        </m:r>
        <m:r>
          <m:t> </m:t>
        </m:r>
      </m:oMath>
      <w:r>
        <w:t xml:space="preserve">112 to start the year), management has explicitly told investors that</w:t>
      </w:r>
      <w:r>
        <w:t xml:space="preserve"> </w:t>
      </w:r>
      <w:r>
        <w:rPr>
          <w:b/>
          <w:bCs/>
        </w:rPr>
        <w:t xml:space="preserve">the growth is back-half loaded</w:t>
      </w:r>
      <w:r>
        <w:t xml:space="preserve">, and this is the quarter where that acceleration must start showing up. Sentiment is neutral-to-skeptical, but the setup is asymmetric: guidance is credible, the comparison math is favorable, and a large chunk of the "bad news" (the Sports OI decline) has already been pre-announced.</w:t>
      </w:r>
    </w:p>
    <w:p>
      <w:r>
        <w:pict>
          <v:rect style="width:0;height:1.5pt" o:hralign="center" o:hrstd="t" o:hr="t"/>
        </w:pict>
      </w:r>
    </w:p>
    <w:bookmarkEnd w:id="10"/>
    <w:bookmarkStart w:id="11" w:name="what-the-street-expects"/>
    <w:p>
      <w:pPr>
        <w:pStyle w:val="Heading2"/>
      </w:pPr>
      <w:r>
        <w:t xml:space="preserve">What the Street Expects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Q3 FY26 Consensus</w:t>
            </w:r>
          </w:p>
        </w:tc>
        <w:tc>
          <w:tcPr/>
          <w:p>
            <w:pPr>
              <w:pStyle w:val="Compact"/>
            </w:pPr>
            <w:r>
              <w:t xml:space="preserve">Q3 FY25 Actual</w:t>
            </w:r>
          </w:p>
        </w:tc>
        <w:tc>
          <w:tcPr/>
          <w:p>
            <w:pPr>
              <w:pStyle w:val="Compact"/>
            </w:pPr>
            <w:r>
              <w:t xml:space="preserve">Implied 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~$25.4B</w:t>
            </w:r>
          </w:p>
        </w:tc>
        <w:tc>
          <w:tcPr/>
          <w:p>
            <w:pPr>
              <w:pStyle w:val="Compact"/>
            </w:pPr>
            <w:r>
              <w:t xml:space="preserve">$23.65B</w:t>
            </w:r>
          </w:p>
        </w:tc>
        <w:tc>
          <w:tcPr/>
          <w:p>
            <w:pPr>
              <w:pStyle w:val="Compact"/>
            </w:pPr>
            <w:r>
              <w:t xml:space="preserve">+7%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(ex-items) EPS</w:t>
            </w:r>
          </w:p>
        </w:tc>
        <w:tc>
          <w:tcPr/>
          <w:p>
            <w:pPr>
              <w:pStyle w:val="Compact"/>
            </w:pPr>
            <w:r>
              <w:t xml:space="preserve">~$1.88–1.89</w:t>
            </w:r>
          </w:p>
        </w:tc>
        <w:tc>
          <w:tcPr/>
          <w:p>
            <w:pPr>
              <w:pStyle w:val="Compact"/>
            </w:pPr>
            <w:r>
              <w:t xml:space="preserve">$1.61</w:t>
            </w:r>
          </w:p>
        </w:tc>
        <w:tc>
          <w:tcPr/>
          <w:p>
            <w:pPr>
              <w:pStyle w:val="Compact"/>
            </w:pPr>
            <w:r>
              <w:t xml:space="preserve">+~17%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Segment Operating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~$5.3B (company guide)</w:t>
            </w:r>
          </w:p>
        </w:tc>
        <w:tc>
          <w:tcPr/>
          <w:p>
            <w:pPr>
              <w:pStyle w:val="Compact"/>
            </w:pPr>
            <w:r>
              <w:t xml:space="preserve">$4.575B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+16%</w:t>
            </w:r>
          </w:p>
        </w:tc>
      </w:tr>
    </w:tbl>
    <w:p>
      <w:pPr>
        <w:pStyle w:val="Compact"/>
        <w:numPr>
          <w:ilvl w:val="0"/>
          <w:numId w:val="1001"/>
        </w:numPr>
      </w:pPr>
      <w:r>
        <w:t xml:space="preserve">Analysts' consensus rating is</w:t>
      </w:r>
      <w:r>
        <w:t xml:space="preserve"> </w:t>
      </w:r>
      <w:r>
        <w:rPr>
          <w:b/>
          <w:bCs/>
        </w:rPr>
        <w:t xml:space="preserve">Buy</w:t>
      </w:r>
      <w:r>
        <w:t xml:space="preserve">, average price target ~$127 (range</w:t>
      </w:r>
      <w:r>
        <w:t xml:space="preserve"> </w:t>
      </w:r>
      <m:oMath>
        <m:r>
          <m:t>88</m:t>
        </m:r>
        <m:r>
          <m:rPr>
            <m:sty m:val="p"/>
          </m:rPr>
          <m:t>–</m:t>
        </m:r>
      </m:oMath>
      <w:r>
        <w:t xml:space="preserve">163), implying ~30% upside from ~$96–98 — but that wide target range signals real disagreement about the trajectory.</w:t>
      </w:r>
    </w:p>
    <w:p>
      <w:pPr>
        <w:pStyle w:val="Compact"/>
        <w:numPr>
          <w:ilvl w:val="0"/>
          <w:numId w:val="1001"/>
        </w:numPr>
      </w:pPr>
      <w:r>
        <w:t xml:space="preserve">Stock trades around</w:t>
      </w:r>
      <w:r>
        <w:t xml:space="preserve"> </w:t>
      </w:r>
      <w:r>
        <w:rPr>
          <w:b/>
          <w:bCs/>
        </w:rPr>
        <w:t xml:space="preserve">14x</w:t>
      </w:r>
      <w:r>
        <w:t xml:space="preserve"> </w:t>
      </w:r>
      <w:r>
        <w:t xml:space="preserve">the ~$6.80 FY26 EPS estimate, a discount to its historical multiple and to the S&amp;P — reflecting the "value trap vs. turnaround" debate.</w:t>
      </w:r>
    </w:p>
    <w:p>
      <w:r>
        <w:pict>
          <v:rect style="width:0;height:1.5pt" o:hralign="center" o:hrstd="t" o:hr="t"/>
        </w:pict>
      </w:r>
    </w:p>
    <w:bookmarkEnd w:id="11"/>
    <w:bookmarkStart w:id="16" w:name="Xd1aa2d9db0dda688bb5c548b188f3f8063c127e"/>
    <w:p>
      <w:pPr>
        <w:pStyle w:val="Heading2"/>
      </w:pPr>
      <w:r>
        <w:t xml:space="preserve">The Numbers That Actually Matter This Quarter</w:t>
      </w:r>
    </w:p>
    <w:bookmarkStart w:id="12" w:name="X743994bdd22be754acd3545a990795c40a587cb"/>
    <w:p>
      <w:pPr>
        <w:pStyle w:val="Heading3"/>
      </w:pPr>
      <w:r>
        <w:t xml:space="preserve">1. The ~$5.3B total segment OI guide is the anchor</w:t>
      </w:r>
    </w:p>
    <w:p>
      <w:pPr>
        <w:pStyle w:val="FirstParagraph"/>
      </w:pPr>
      <w:r>
        <w:t xml:space="preserve">Management guided Q3 total segment OI to</w:t>
      </w:r>
      <w:r>
        <w:t xml:space="preserve"> </w:t>
      </w:r>
      <w:r>
        <w:rPr>
          <w:b/>
          <w:bCs/>
        </w:rPr>
        <w:t xml:space="preserve">~$5.3B, up ~16% YoY</w:t>
      </w:r>
      <w:r>
        <w:t xml:space="preserve"> </w:t>
      </w:r>
      <w:r>
        <w:t xml:space="preserve">— a meaningful acceleration after a soft first half (H1 adjusted EPS was roughly flat at $3.20 vs. $3.22). Recall the FY26 shape: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Q1:</w:t>
      </w:r>
      <w:r>
        <w:t xml:space="preserve"> </w:t>
      </w:r>
      <w:r>
        <w:t xml:space="preserve">total segment OI</w:t>
      </w:r>
      <w:r>
        <w:t xml:space="preserve"> </w:t>
      </w:r>
      <w:r>
        <w:rPr>
          <w:i/>
          <w:iCs/>
        </w:rPr>
        <w:t xml:space="preserve">down 9%</w:t>
      </w:r>
      <w:r>
        <w:t xml:space="preserve"> </w:t>
      </w:r>
      <w:r>
        <w:t xml:space="preserve">to $4.6B (adj. EPS</w:t>
      </w:r>
      <w:r>
        <w:t xml:space="preserve"> </w:t>
      </w:r>
      <m:oMath>
        <m:r>
          <m:t>1.63</m:t>
        </m:r>
        <m:r>
          <m:rPr>
            <m:sty m:val="p"/>
          </m:rPr>
          <m:t>,</m:t>
        </m:r>
        <m:r>
          <m:t>h</m:t>
        </m:r>
        <m:r>
          <m:t>u</m:t>
        </m:r>
        <m:r>
          <m:t>r</m:t>
        </m:r>
        <m:r>
          <m:t>t</m:t>
        </m:r>
        <m:r>
          <m:t>b</m:t>
        </m:r>
        <m:r>
          <m:t>y</m:t>
        </m:r>
        <m:r>
          <m:t>a</m:t>
        </m:r>
        <m:r>
          <m:t>Y</m:t>
        </m:r>
        <m:r>
          <m:t>o</m:t>
        </m:r>
        <m:r>
          <m:t>u</m:t>
        </m:r>
        <m:r>
          <m:t>T</m:t>
        </m:r>
        <m:r>
          <m:t>u</m:t>
        </m:r>
        <m:r>
          <m:t>b</m:t>
        </m:r>
        <m:r>
          <m:t>e</m:t>
        </m:r>
        <m:r>
          <m:t>T</m:t>
        </m:r>
        <m:r>
          <m:t>V</m:t>
        </m:r>
        <m:r>
          <m:t>c</m:t>
        </m:r>
        <m:r>
          <m:t>a</m:t>
        </m:r>
        <m:r>
          <m:t>r</m:t>
        </m:r>
        <m:r>
          <m:t>r</m:t>
        </m:r>
        <m:r>
          <m:t>i</m:t>
        </m:r>
        <m:r>
          <m:t>a</m:t>
        </m:r>
        <m:r>
          <m:t>g</m:t>
        </m:r>
        <m:r>
          <m:t>e</m:t>
        </m:r>
        <m:r>
          <m:t>s</m:t>
        </m:r>
        <m:r>
          <m:t>u</m:t>
        </m:r>
        <m:r>
          <m:t>s</m:t>
        </m:r>
        <m:r>
          <m:t>p</m:t>
        </m:r>
        <m:r>
          <m:t>e</m:t>
        </m:r>
        <m:r>
          <m:t>n</m:t>
        </m:r>
        <m:r>
          <m:t>s</m:t>
        </m:r>
        <m:r>
          <m:t>i</m:t>
        </m:r>
        <m:r>
          <m:t>o</m:t>
        </m:r>
        <m:r>
          <m:t>n</m:t>
        </m:r>
        <m:r>
          <m:t>t</m:t>
        </m:r>
        <m:r>
          <m:t>h</m:t>
        </m:r>
        <m:r>
          <m:t>a</m:t>
        </m:r>
        <m:r>
          <m:t>t</m:t>
        </m:r>
        <m:r>
          <m:t>c</m:t>
        </m:r>
        <m:r>
          <m:t>o</m:t>
        </m:r>
        <m:r>
          <m:t>s</m:t>
        </m:r>
        <m:r>
          <m:t>t</m:t>
        </m:r>
        <m:r>
          <m:t>S</m:t>
        </m:r>
        <m:r>
          <m:t>p</m:t>
        </m:r>
        <m:r>
          <m:t>o</m:t>
        </m:r>
        <m:r>
          <m:t>r</m:t>
        </m:r>
        <m:r>
          <m:t>t</m:t>
        </m:r>
        <m:r>
          <m:t>s</m:t>
        </m:r>
        <m:r>
          <m:t> </m:t>
        </m:r>
      </m:oMath>
      <w:r>
        <w:t xml:space="preserve">110M)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Q2:</w:t>
      </w:r>
      <w:r>
        <w:t xml:space="preserve"> </w:t>
      </w:r>
      <w:r>
        <w:t xml:space="preserve">total segment OI</w:t>
      </w:r>
      <w:r>
        <w:t xml:space="preserve"> </w:t>
      </w:r>
      <w:r>
        <w:rPr>
          <w:i/>
          <w:iCs/>
        </w:rPr>
        <w:t xml:space="preserve">up 4%</w:t>
      </w:r>
      <w:r>
        <w:t xml:space="preserve"> </w:t>
      </w:r>
      <w:r>
        <w:t xml:space="preserve">to $4.6B (adj. EPS $1.57, beat)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Q3 (guide):</w:t>
      </w:r>
      <w:r>
        <w:t xml:space="preserve"> </w:t>
      </w:r>
      <w:r>
        <w:rPr>
          <w:i/>
          <w:iCs/>
        </w:rPr>
        <w:t xml:space="preserve">up ~16%</w:t>
      </w:r>
      <w:r>
        <w:t xml:space="preserve"> </w:t>
      </w:r>
      <w:r>
        <w:t xml:space="preserve">→ this is the inflection quarter</w:t>
      </w:r>
    </w:p>
    <w:p>
      <w:pPr>
        <w:pStyle w:val="FirstParagraph"/>
      </w:pPr>
      <w:r>
        <w:t xml:space="preserve">For the full-year</w:t>
      </w:r>
      <w:r>
        <w:t xml:space="preserve"> </w:t>
      </w:r>
      <w:r>
        <w:rPr>
          <w:b/>
          <w:bCs/>
        </w:rPr>
        <w:t xml:space="preserve">~12% adjusted EPS growth (ex-53rd week)</w:t>
      </w:r>
      <w:r>
        <w:t xml:space="preserve"> </w:t>
      </w:r>
      <w:r>
        <w:t xml:space="preserve">to hold — off a</w:t>
      </w:r>
      <w:r>
        <w:t xml:space="preserve"> </w:t>
      </w:r>
      <m:oMath>
        <m:r>
          <m:t>5.85</m:t>
        </m:r>
        <m:r>
          <m:t>F</m:t>
        </m:r>
        <m:r>
          <m:t>Y</m:t>
        </m:r>
        <m:r>
          <m:t>25</m:t>
        </m:r>
        <m:r>
          <m:t>b</m:t>
        </m:r>
        <m:r>
          <m:t>a</m:t>
        </m:r>
        <m:r>
          <m:t>s</m:t>
        </m:r>
        <m:r>
          <m:t>e</m:t>
        </m:r>
        <m:r>
          <m:rPr>
            <m:sty m:val="p"/>
          </m:rPr>
          <m:t>,</m:t>
        </m:r>
        <m:r>
          <m:t>i</m:t>
        </m:r>
        <m:r>
          <m:t>m</m:t>
        </m:r>
        <m:r>
          <m:t>p</m:t>
        </m:r>
        <m:r>
          <m:t>l</m:t>
        </m:r>
        <m:r>
          <m:t>y</m:t>
        </m:r>
        <m:r>
          <m:t>i</m:t>
        </m:r>
        <m:r>
          <m:t>n</m:t>
        </m:r>
        <m:r>
          <m:t>g</m:t>
        </m:r>
        <m:r>
          <m:t> </m:t>
        </m:r>
      </m:oMath>
      <w:r>
        <w:t xml:space="preserve">6.55 ex the extra week / ~$6.79 including it — Q3 and Q4 have to deliver.</w:t>
      </w:r>
      <w:r>
        <w:t xml:space="preserve"> </w:t>
      </w:r>
      <w:r>
        <w:rPr>
          <w:b/>
          <w:bCs/>
        </w:rPr>
        <w:t xml:space="preserve">A clean beat vs. the $5.3B guide is the single most important validation point.</w:t>
      </w:r>
    </w:p>
    <w:bookmarkEnd w:id="12"/>
    <w:bookmarkStart w:id="13" w:name="X7e8618b1ae7e60ef2ad8ea676460154efe662b7"/>
    <w:p>
      <w:pPr>
        <w:pStyle w:val="Heading3"/>
      </w:pPr>
      <w:r>
        <w:t xml:space="preserve">2. Sports OI is</w:t>
      </w:r>
      <w:r>
        <w:t xml:space="preserve"> </w:t>
      </w:r>
      <w:r>
        <w:rPr>
          <w:i/>
          <w:iCs/>
        </w:rPr>
        <w:t xml:space="preserve">guided down ~14%</w:t>
      </w:r>
      <w:r>
        <w:t xml:space="preserve"> </w:t>
      </w:r>
      <w:r>
        <w:t xml:space="preserve">— don't panic, it's timing</w:t>
      </w:r>
    </w:p>
    <w:p>
      <w:pPr>
        <w:pStyle w:val="FirstParagraph"/>
      </w:pPr>
      <w:r>
        <w:t xml:space="preserve">Management already flagged that</w:t>
      </w:r>
      <w:r>
        <w:t xml:space="preserve"> </w:t>
      </w:r>
      <w:r>
        <w:rPr>
          <w:b/>
          <w:bCs/>
        </w:rPr>
        <w:t xml:space="preserve">Q3 Sports segment OI will decline ~14% YoY</w:t>
      </w:r>
      <w:r>
        <w:t xml:space="preserve">, driven by a double-digit jump in programming expense, largely the</w:t>
      </w:r>
      <w:r>
        <w:t xml:space="preserve"> </w:t>
      </w:r>
      <w:r>
        <w:rPr>
          <w:b/>
          <w:bCs/>
        </w:rPr>
        <w:t xml:space="preserve">timing of NBA rights recognition shifting from H1 into Q3</w:t>
      </w:r>
      <w:r>
        <w:t xml:space="preserve"> </w:t>
      </w:r>
      <w:r>
        <w:t xml:space="preserve">plus new-rights step-ups. Prior-year Q3 Sports OI was a strong</w:t>
      </w:r>
      <w:r>
        <w:t xml:space="preserve"> </w:t>
      </w:r>
      <m:oMath>
        <m:r>
          <m:t>1.037</m:t>
        </m:r>
        <m:r>
          <m:t>B</m:t>
        </m:r>
        <m:r>
          <m:rPr>
            <m:sty m:val="p"/>
          </m:rPr>
          <m:t>,</m:t>
        </m:r>
        <m:r>
          <m:t>s</m:t>
        </m:r>
        <m:r>
          <m:t>o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s</m:t>
        </m:r>
        <m:r>
          <m:t>o</m:t>
        </m:r>
        <m:r>
          <m:t>m</m:t>
        </m:r>
        <m:r>
          <m:t>e</m:t>
        </m:r>
        <m:r>
          <m:t>t</m:t>
        </m:r>
        <m:r>
          <m:t>h</m:t>
        </m:r>
        <m:r>
          <m:t>i</m:t>
        </m:r>
        <m:r>
          <m:t>n</m:t>
        </m:r>
        <m:r>
          <m:t>g</m:t>
        </m:r>
        <m:r>
          <m:t>a</m:t>
        </m:r>
        <m:r>
          <m:t>r</m:t>
        </m:r>
        <m:r>
          <m:t>o</m:t>
        </m:r>
        <m:r>
          <m:t>u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890M**.</w:t>
      </w:r>
    </w:p>
    <w:p>
      <w:pPr>
        <w:pStyle w:val="Compact"/>
        <w:numPr>
          <w:ilvl w:val="0"/>
          <w:numId w:val="1003"/>
        </w:numPr>
      </w:pPr>
      <w:r>
        <w:t xml:space="preserve">This is a</w:t>
      </w:r>
      <w:r>
        <w:t xml:space="preserve"> </w:t>
      </w:r>
      <w:r>
        <w:rPr>
          <w:i/>
          <w:iCs/>
        </w:rPr>
        <w:t xml:space="preserve">known, pre-announced</w:t>
      </w:r>
      <w:r>
        <w:t xml:space="preserve"> </w:t>
      </w:r>
      <w:r>
        <w:t xml:space="preserve">headwind — a reported decline here is not a miss.</w:t>
      </w:r>
    </w:p>
    <w:p>
      <w:pPr>
        <w:pStyle w:val="Compact"/>
        <w:numPr>
          <w:ilvl w:val="0"/>
          <w:numId w:val="1003"/>
        </w:numPr>
      </w:pPr>
      <w:r>
        <w:t xml:space="preserve">Full-year Sports OI is still guided to</w:t>
      </w:r>
      <w:r>
        <w:t xml:space="preserve"> </w:t>
      </w:r>
      <w:r>
        <w:rPr>
          <w:b/>
          <w:bCs/>
        </w:rPr>
        <w:t xml:space="preserve">mid-single-digit growth</w:t>
      </w:r>
      <w:r>
        <w:t xml:space="preserve"> </w:t>
      </w:r>
      <w:r>
        <w:t xml:space="preserve">(including the NFL Network deal, which is ~$0.03 dilutive to FY26 EPS via the new noncontrolling interest). The NFL Network / RedZone integration closed in January; watch commentary on advertising demand ahead of</w:t>
      </w:r>
      <w:r>
        <w:t xml:space="preserve"> </w:t>
      </w:r>
      <w:r>
        <w:rPr>
          <w:b/>
          <w:bCs/>
        </w:rPr>
        <w:t xml:space="preserve">ESPN's first Super Bowl (LXI, Feb 2027)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Key sub-narrative: the standalone</w:t>
      </w:r>
      <w:r>
        <w:t xml:space="preserve"> </w:t>
      </w:r>
      <w:r>
        <w:rPr>
          <w:b/>
          <w:bCs/>
        </w:rPr>
        <w:t xml:space="preserve">ESPN Unlimited</w:t>
      </w:r>
      <w:r>
        <w:t xml:space="preserve"> </w:t>
      </w:r>
      <w:r>
        <w:t xml:space="preserve">DTC service (launched Aug 2025). Management says digital sub revenue is already more than offsetting linear declines — look for scaling color.</w:t>
      </w:r>
    </w:p>
    <w:bookmarkEnd w:id="13"/>
    <w:bookmarkStart w:id="14" w:name="X1d68a0894156aa02f10e7e72412c9a75064727d"/>
    <w:p>
      <w:pPr>
        <w:pStyle w:val="Heading3"/>
      </w:pPr>
      <w:r>
        <w:t xml:space="preserve">3. Experiences — the attendance inflection</w:t>
      </w:r>
    </w:p>
    <w:p>
      <w:pPr>
        <w:pStyle w:val="FirstParagraph"/>
      </w:pPr>
      <w:r>
        <w:t xml:space="preserve">This is arguably the most watched operational data point. In Q2,</w:t>
      </w:r>
      <w:r>
        <w:t xml:space="preserve"> </w:t>
      </w:r>
      <w:r>
        <w:rPr>
          <w:b/>
          <w:bCs/>
        </w:rPr>
        <w:t xml:space="preserve">domestic park attendance fell 1%</w:t>
      </w:r>
      <w:r>
        <w:t xml:space="preserve"> </w:t>
      </w:r>
      <w:r>
        <w:t xml:space="preserve">(dragged by soft international visitation and the "Epic"/competitive-park headwind), but</w:t>
      </w:r>
      <w:r>
        <w:t xml:space="preserve"> </w:t>
      </w:r>
      <w:r>
        <w:rPr>
          <w:b/>
          <w:bCs/>
        </w:rPr>
        <w:t xml:space="preserve">per-capita spending rose 5%</w:t>
      </w:r>
      <w:r>
        <w:t xml:space="preserve"> </w:t>
      </w:r>
      <w:r>
        <w:t xml:space="preserve">and Experiences OI grew 5% to a Q2 record. Management explicitly guided that</w:t>
      </w:r>
      <w:r>
        <w:t xml:space="preserve"> </w:t>
      </w:r>
      <w:r>
        <w:rPr>
          <w:b/>
          <w:bCs/>
        </w:rPr>
        <w:t xml:space="preserve">Q3 domestic attendance should improve vs. that -1%</w:t>
      </w:r>
      <w:r>
        <w:t xml:space="preserve"> </w:t>
      </w:r>
      <w:r>
        <w:t xml:space="preserve">as they lap prior headwinds.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Watch for:</w:t>
      </w:r>
      <w:r>
        <w:t xml:space="preserve"> </w:t>
      </w:r>
      <w:r>
        <w:t xml:space="preserve">whether attendance turns positive; per-capita spend durability; cruise contribution (Disney Adventure in Singapore, Disney Destiny) with 40% more cruise capacity; and any read on the consumer.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Comp caution:</w:t>
      </w:r>
      <w:r>
        <w:t xml:space="preserve"> </w:t>
      </w:r>
      <w:r>
        <w:t xml:space="preserve">Q3 FY25 was tough — Domestic Parks OI grew</w:t>
      </w:r>
      <w:r>
        <w:t xml:space="preserve"> </w:t>
      </w:r>
      <w:r>
        <w:rPr>
          <w:b/>
          <w:bCs/>
        </w:rPr>
        <w:t xml:space="preserve">22%</w:t>
      </w:r>
      <w:r>
        <w:t xml:space="preserve"> </w:t>
      </w:r>
      <w:r>
        <w:t xml:space="preserve">and included a ~$40M Easter-timing benefit. So even healthy growth may look modest against that comp.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Macro/oil watch:</w:t>
      </w:r>
      <w:r>
        <w:t xml:space="preserve"> </w:t>
      </w:r>
      <w:r>
        <w:t xml:space="preserve">Management said in May it had seen</w:t>
      </w:r>
      <w:r>
        <w:t xml:space="preserve"> </w:t>
      </w:r>
      <w:r>
        <w:rPr>
          <w:i/>
          <w:iCs/>
        </w:rPr>
        <w:t xml:space="preserve">no</w:t>
      </w:r>
      <w:r>
        <w:t xml:space="preserve"> </w:t>
      </w:r>
      <w:r>
        <w:t xml:space="preserve">change in consumer behavior from higher gas prices and that forward bookings were pacing up, but bears are focused on geopolitical/oil disruption as a risk to Experiences. Forward-booking commentary will be scrutinized.</w:t>
      </w:r>
    </w:p>
    <w:bookmarkEnd w:id="14"/>
    <w:bookmarkStart w:id="15" w:name="X903872c209fe0b086b3fc651a5f746d5e51223b"/>
    <w:p>
      <w:pPr>
        <w:pStyle w:val="Heading3"/>
      </w:pPr>
      <w:r>
        <w:t xml:space="preserve">4. Streaming (Entertainment SVOD) — margin and engagement</w:t>
      </w:r>
    </w:p>
    <w:p>
      <w:pPr>
        <w:pStyle w:val="FirstParagraph"/>
      </w:pPr>
      <w:r>
        <w:t xml:space="preserve">Q2 delivered Disney's</w:t>
      </w:r>
      <w:r>
        <w:t xml:space="preserve"> </w:t>
      </w:r>
      <w:r>
        <w:rPr>
          <w:b/>
          <w:bCs/>
        </w:rPr>
        <w:t xml:space="preserve">first double-digit SVOD operating margin (10.6%)</w:t>
      </w:r>
      <w:r>
        <w:t xml:space="preserve">, with SVOD revenue growth accelerating to</w:t>
      </w:r>
      <w:r>
        <w:t xml:space="preserve"> </w:t>
      </w:r>
      <w:r>
        <w:rPr>
          <w:b/>
          <w:bCs/>
        </w:rPr>
        <w:t xml:space="preserve">13%</w:t>
      </w:r>
      <w:r>
        <w:t xml:space="preserve"> </w:t>
      </w:r>
      <w:r>
        <w:t xml:space="preserve">(from 11% in Q1) and SVOD OI up 88% YoY to $582M. Company reaffirmed</w:t>
      </w:r>
      <w:r>
        <w:t xml:space="preserve"> </w:t>
      </w:r>
      <w:r>
        <w:rPr>
          <w:b/>
          <w:bCs/>
        </w:rPr>
        <w:t xml:space="preserve">≥10% SVOD margin for full-year FY26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Watch:</w:t>
      </w:r>
      <w:r>
        <w:t xml:space="preserve"> </w:t>
      </w:r>
      <w:r>
        <w:t xml:space="preserve">continued revenue acceleration, subscriber adds (Disney+/Hulu), ARPU, churn trends, and international scaling via local originals + wholesale deals. Note Disney has de-emphasized quarter-to-quarter sub guidance in favor of engagement/retention.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Strategic overhang:</w:t>
      </w:r>
      <w:r>
        <w:t xml:space="preserve"> </w:t>
      </w:r>
      <w:r>
        <w:t xml:space="preserve">Disney is</w:t>
      </w:r>
      <w:r>
        <w:t xml:space="preserve"> </w:t>
      </w:r>
      <w:r>
        <w:rPr>
          <w:b/>
          <w:bCs/>
        </w:rPr>
        <w:t xml:space="preserve">overhauling Disney+ into a "portal"</w:t>
      </w:r>
      <w:r>
        <w:t xml:space="preserve"> </w:t>
      </w:r>
      <w:r>
        <w:t xml:space="preserve">integrating Hulu, ESPN, and its film library with a new recommendation engine and vertical video — CEO D'Amaro's vision of Disney+ as the "digital centerpiece." Early product moves (Verts, video browse) are framed as engagement/churn drivers.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7" w:name="bigger-picture-themes-for-the-call"/>
    <w:p>
      <w:pPr>
        <w:pStyle w:val="Heading2"/>
      </w:pPr>
      <w:r>
        <w:t xml:space="preserve">Bigger-Picture Themes for the Call</w:t>
      </w:r>
    </w:p>
    <w:p>
      <w:pPr>
        <w:pStyle w:val="FirstParagraph"/>
      </w:pPr>
      <w:r>
        <w:rPr>
          <w:b/>
          <w:bCs/>
        </w:rPr>
        <w:t xml:space="preserve">New CEO, new framework.</w:t>
      </w:r>
      <w:r>
        <w:t xml:space="preserve"> </w:t>
      </w:r>
      <w:r>
        <w:t xml:space="preserve">This is only Josh D'Amaro's second call as CEO (he took over from Bob Iger in spring 2026). Disney has shifted to a</w:t>
      </w:r>
      <w:r>
        <w:t xml:space="preserve"> </w:t>
      </w:r>
      <w:r>
        <w:rPr>
          <w:b/>
          <w:bCs/>
        </w:rPr>
        <w:t xml:space="preserve">"One Disney" whole-company narrative and shareholder-letter format</w:t>
      </w:r>
      <w:r>
        <w:t xml:space="preserve">, de-emphasizing segment-by-segment reporting. His three pillars: (1) IP/creativity, (2) deeper direct fan relationships with Disney+ at the center, (3) technology/AI as an accelerant. Expect questions on portfolio optimization — CFO Hugh Johnston has signaled linear networks and even ESPN are continually evaluated, and that any "noncore" asset review has "already been looked at."</w:t>
      </w:r>
    </w:p>
    <w:p>
      <w:pPr>
        <w:pStyle w:val="BodyText"/>
      </w:pPr>
      <w:r>
        <w:rPr>
          <w:b/>
          <w:bCs/>
        </w:rPr>
        <w:t xml:space="preserve">Regulatory overhang (ABC/FCC).</w:t>
      </w:r>
      <w:r>
        <w:t xml:space="preserve"> </w:t>
      </w:r>
      <w:r>
        <w:t xml:space="preserve">A live risk that could dominate Q&amp;A: Disney and ABC are</w:t>
      </w:r>
      <w:r>
        <w:t xml:space="preserve"> </w:t>
      </w:r>
      <w:r>
        <w:rPr>
          <w:b/>
          <w:bCs/>
        </w:rPr>
        <w:t xml:space="preserve">fighting an FCC review of eight ABC-owned broadcast licenses</w:t>
      </w:r>
      <w:r>
        <w:t xml:space="preserve">, which the company calls unconstitutional retaliation tied to political criticism of its coverage. Disney notes 95%+ of 150,000+ public comments favored the company, and former FCC officials (including three Republican chairs) called the review "an assault on free speech." A political/regulatory tail risk with no clean resolution timeline.</w:t>
      </w:r>
    </w:p>
    <w:p>
      <w:pPr>
        <w:pStyle w:val="BodyText"/>
      </w:pPr>
      <w:r>
        <w:rPr>
          <w:b/>
          <w:bCs/>
        </w:rPr>
        <w:t xml:space="preserve">Cost discipline / AI.</w:t>
      </w:r>
      <w:r>
        <w:t xml:space="preserve"> </w:t>
      </w:r>
      <w:r>
        <w:t xml:space="preserve">Recent layoffs at</w:t>
      </w:r>
      <w:r>
        <w:t xml:space="preserve"> </w:t>
      </w:r>
      <w:r>
        <w:rPr>
          <w:b/>
          <w:bCs/>
        </w:rPr>
        <w:t xml:space="preserve">ESPN (post-NFL Network integration), Pixar, and National Geographic</w:t>
      </w:r>
      <w:r>
        <w:t xml:space="preserve">, plus a marketing reorg, are part of an efficiency push to fund content and tech. Management wants efficiency gains partly reinvested, partly to the bottom line. Also note: Disney</w:t>
      </w:r>
      <w:r>
        <w:t xml:space="preserve"> </w:t>
      </w:r>
      <w:r>
        <w:rPr>
          <w:b/>
          <w:bCs/>
        </w:rPr>
        <w:t xml:space="preserve">walked away from its planned OpenAI/Sora investment</w:t>
      </w:r>
      <w:r>
        <w:t xml:space="preserve"> </w:t>
      </w:r>
      <w:r>
        <w:t xml:space="preserve">after Sora was shut down.</w:t>
      </w:r>
    </w:p>
    <w:p>
      <w:pPr>
        <w:pStyle w:val="BodyText"/>
      </w:pPr>
      <w:r>
        <w:rPr>
          <w:b/>
          <w:bCs/>
        </w:rPr>
        <w:t xml:space="preserve">Capital returns &amp; FCF.</w:t>
      </w:r>
      <w:r>
        <w:t xml:space="preserve"> </w:t>
      </w:r>
      <w:r>
        <w:t xml:space="preserve">~$8B buyback target for FY26 (raised from</w:t>
      </w:r>
      <w:r>
        <w:t xml:space="preserve"> </w:t>
      </w:r>
      <m:oMath>
        <m:r>
          <m:t>7</m:t>
        </m:r>
        <m:r>
          <m:t>B</m:t>
        </m:r>
        <m:r>
          <m:rPr>
            <m:sty m:val="p"/>
          </m:rPr>
          <m:t>)</m:t>
        </m:r>
        <m:r>
          <m:rPr>
            <m:sty m:val="p"/>
          </m:rPr>
          <m:t>;</m:t>
        </m:r>
        <m:r>
          <m:t> </m:t>
        </m:r>
      </m:oMath>
      <w:r>
        <w:t xml:space="preserve">5.5B repurchased in H1. Watch free cash flow — H1 FCF fell sharply ($2.7B vs. $5.6B) on higher tax payments (California wildfire deferral) and content/capex spend, with capex ramping on cruise ships and park expansions (fleet going from 8 to 13 ships by 2031).</w:t>
      </w:r>
    </w:p>
    <w:p>
      <w:r>
        <w:pict>
          <v:rect style="width:0;height:1.5pt" o:hralign="center" o:hrstd="t" o:hr="t"/>
        </w:pict>
      </w:r>
    </w:p>
    <w:bookmarkEnd w:id="17"/>
    <w:bookmarkStart w:id="18" w:name="bull-vs-bear-going-in"/>
    <w:p>
      <w:pPr>
        <w:pStyle w:val="Heading2"/>
      </w:pPr>
      <w:r>
        <w:t xml:space="preserve">Bull vs. Bear Going In</w:t>
      </w:r>
    </w:p>
    <w:p>
      <w:pPr>
        <w:pStyle w:val="FirstParagraph"/>
      </w:pPr>
      <w:r>
        <w:rPr>
          <w:b/>
          <w:bCs/>
        </w:rPr>
        <w:t xml:space="preserve">Bulls:</w:t>
      </w:r>
      <w:r>
        <w:t xml:space="preserve"> </w:t>
      </w:r>
      <w:r>
        <w:t xml:space="preserve">unmatched IP flywheel; streaming turning genuinely profitable; back-half OI acceleration + easy Sports comp coming in Q4; attendance headwinds lapping; ESPN DTC + first Super Bowl as 2027 catalysts; cheap ~14x multiple; $8B buyback.</w:t>
      </w:r>
    </w:p>
    <w:p>
      <w:pPr>
        <w:pStyle w:val="BodyText"/>
      </w:pPr>
      <w:r>
        <w:rPr>
          <w:b/>
          <w:bCs/>
        </w:rPr>
        <w:t xml:space="preserve">Bears:</w:t>
      </w:r>
      <w:r>
        <w:t xml:space="preserve"> </w:t>
      </w:r>
      <w:r>
        <w:t xml:space="preserve">secular linear decay; escalating sports rights costs; streaming competition; parks exposure to a wobbly consumer and oil/geopolitics; FCC/political overhang; "endless sequels" creative fatigue; and a stock that has chronically underperformed (-20% over 52 weeks).</w:t>
      </w:r>
    </w:p>
    <w:p>
      <w:r>
        <w:pict>
          <v:rect style="width:0;height:1.5pt" o:hralign="center" o:hrstd="t" o:hr="t"/>
        </w:pict>
      </w:r>
    </w:p>
    <w:bookmarkEnd w:id="18"/>
    <w:bookmarkStart w:id="19" w:name="bottom-line--how-to-read-the-print"/>
    <w:p>
      <w:pPr>
        <w:pStyle w:val="Heading2"/>
      </w:pPr>
      <w:r>
        <w:t xml:space="preserve">Bottom Line — How to Read the Print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Total segment OI vs. ~$5.3B</w:t>
      </w:r>
      <w:r>
        <w:t xml:space="preserve"> </w:t>
      </w:r>
      <w:r>
        <w:t xml:space="preserve">— beat = the back-half thesis is intact; miss = FY guide credibility cracks.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Domestic park attendance turning positive</w:t>
      </w:r>
      <w:r>
        <w:t xml:space="preserve"> </w:t>
      </w:r>
      <w:r>
        <w:t xml:space="preserve">— the cleanest read on the consumer.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Sports OI down ~14% is expected</w:t>
      </w:r>
      <w:r>
        <w:t xml:space="preserve"> </w:t>
      </w:r>
      <w:r>
        <w:t xml:space="preserve">— judge the</w:t>
      </w:r>
      <w:r>
        <w:t xml:space="preserve"> </w:t>
      </w:r>
      <w:r>
        <w:rPr>
          <w:i/>
          <w:iCs/>
        </w:rPr>
        <w:t xml:space="preserve">quality</w:t>
      </w:r>
      <w:r>
        <w:t xml:space="preserve"> </w:t>
      </w:r>
      <w:r>
        <w:t xml:space="preserve">(ad demand, ESPN DTC scaling), not the headline.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SVOD margin/revenue momentum</w:t>
      </w:r>
      <w:r>
        <w:t xml:space="preserve"> </w:t>
      </w:r>
      <w:r>
        <w:t xml:space="preserve">— must extend the Q2 acceleration.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Any FY26 guidance change</w:t>
      </w:r>
      <w:r>
        <w:t xml:space="preserve"> </w:t>
      </w:r>
      <w:r>
        <w:t xml:space="preserve">(currently ~12% ex-53rd week / ~16% incl.) and</w:t>
      </w:r>
      <w:r>
        <w:t xml:space="preserve"> </w:t>
      </w:r>
      <w:r>
        <w:rPr>
          <w:b/>
          <w:bCs/>
        </w:rPr>
        <w:t xml:space="preserve">buyback pace</w:t>
      </w:r>
      <w:r>
        <w:t xml:space="preserve"> </w:t>
      </w:r>
      <w:r>
        <w:t xml:space="preserve">— a raise would be the bullish surprise; a trim would be punished hard given the low starting multiple.</w:t>
      </w:r>
    </w:p>
    <w:p>
      <w:pPr>
        <w:pStyle w:val="FirstParagraph"/>
      </w:pPr>
      <w:r>
        <w:t xml:space="preserve">Given management pre-flagged the Sports headwind and set a specific $5.3B OI bar, the swing factors are</w:t>
      </w:r>
      <w:r>
        <w:t xml:space="preserve"> </w:t>
      </w:r>
      <w:r>
        <w:rPr>
          <w:b/>
          <w:bCs/>
        </w:rPr>
        <w:t xml:space="preserve">parks attendance, streaming margin, and whether the full-year guide moves up.</w:t>
      </w:r>
      <w:r>
        <w:t xml:space="preserve"> </w:t>
      </w:r>
      <w:r>
        <w:t xml:space="preserve">With the stock near lows and sentiment neutral, the risk/reward skews toward a relief move</w:t>
      </w:r>
      <w:r>
        <w:t xml:space="preserve"> </w:t>
      </w:r>
      <w:r>
        <w:rPr>
          <w:i/>
          <w:iCs/>
        </w:rPr>
        <w:t xml:space="preserve">if</w:t>
      </w:r>
      <w:r>
        <w:t xml:space="preserve"> </w:t>
      </w:r>
      <w:r>
        <w:t xml:space="preserve">the parks inflection and OI acceleration materialize as guided.</w:t>
      </w:r>
    </w:p>
    <w:p>
      <w:pPr>
        <w:pStyle w:val="BodyText"/>
      </w:pPr>
      <w:r>
        <w:rPr>
          <w:i/>
          <w:iCs/>
        </w:rPr>
        <w:t xml:space="preserve">Note: Q3 FY26 figures are consensus/company-guidance estimates; actuals report the morning of Aug 5. Prior-year and Q1/Q2 FY26 figures are from Disney's filings and releases.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2026-08-05T00:17:08Z</dcterms:created>
  <dcterms:modified xsi:type="dcterms:W3CDTF">2026-08-05T00:17:08Z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