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1fb73f2dabc60a5a62db3f99fd0bf5ced636592"/>
    <w:p>
      <w:pPr>
        <w:pStyle w:val="Heading1"/>
      </w:pPr>
      <w:r>
        <w:t xml:space="preserve">The Walt Disney Company (DIS) — Q3 FY26 Earnings Preview</w:t>
      </w:r>
    </w:p>
    <w:p>
      <w:pPr>
        <w:pStyle w:val="FirstParagraph"/>
      </w:pPr>
      <w:r>
        <w:rPr>
          <w:b/>
          <w:bCs/>
        </w:rPr>
        <w:t xml:space="preserve">Report date:</w:t>
      </w:r>
      <w:r>
        <w:t xml:space="preserve"> </w:t>
      </w:r>
      <w:r>
        <w:t xml:space="preserve">Wednesday, August 5, 2026, before market open |</w:t>
      </w:r>
      <w:r>
        <w:t xml:space="preserve"> </w:t>
      </w:r>
      <w:r>
        <w:rPr>
          <w:b/>
          <w:bCs/>
        </w:rPr>
        <w:t xml:space="preserve">Fiscal quarter:</w:t>
      </w:r>
      <w:r>
        <w:t xml:space="preserve"> </w:t>
      </w:r>
      <w:r>
        <w:t xml:space="preserve">Q3 FY26 (ended late June 2026)</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Disney shares have been under pressure heading into the quarter. The stock has round-tripped from the low-$100s in early 2026 down toward the</w:t>
      </w:r>
      <w:r>
        <w:t xml:space="preserve"> </w:t>
      </w:r>
      <m:oMath>
        <m:r>
          <m:t>92</m:t>
        </m:r>
        <m:r>
          <m:rPr>
            <m:sty m:val="p"/>
          </m:rPr>
          <m:t>–</m:t>
        </m:r>
      </m:oMath>
      <w:r>
        <w:t xml:space="preserve">98 range amid a volatile spring (a dip toward $92 in late March) before stabilizing near $96-98 in the days ahead of the report. Sentiment going in is described as</w:t>
      </w:r>
      <w:r>
        <w:t xml:space="preserve"> </w:t>
      </w:r>
      <w:r>
        <w:rPr>
          <w:b/>
          <w:bCs/>
        </w:rPr>
        <w:t xml:space="preserve">"fairly neutral,"</w:t>
      </w:r>
      <w:r>
        <w:t xml:space="preserve"> </w:t>
      </w:r>
      <w:r>
        <w:t xml:space="preserve">with bears focused on geopolitical and oil disruption in the Experiences business, fierce streaming competition, persistent secular headwinds in legacy linear properties, and escalating sports costs, while bulls point to the company's unparalleled IP portfolio and extended period of underperformance.</w:t>
      </w:r>
    </w:p>
    <w:p>
      <w:pPr>
        <w:pStyle w:val="BodyText"/>
      </w:pPr>
      <w:r>
        <w:t xml:space="preserve">This is only the second earnings report under new CEO</w:t>
      </w:r>
      <w:r>
        <w:t xml:space="preserve"> </w:t>
      </w:r>
      <w:r>
        <w:rPr>
          <w:b/>
          <w:bCs/>
        </w:rPr>
        <w:t xml:space="preserve">Josh D'Amaro</w:t>
      </w:r>
      <w:r>
        <w:t xml:space="preserve">, who took over from Bob Iger and used his first call (Q2, in May) to lay out three strategic pillars: doubling down on IP/creative excellence, turning Disney+ into a "digital centerpiece" that connects streaming, sports, games and experiences, and using technology/AI as an accelerant for efficiency and monetization.</w:t>
      </w:r>
    </w:p>
    <w:bookmarkEnd w:id="9"/>
    <w:bookmarkStart w:id="10" w:name="X981deddc1a848b387888e6bcfbd423f5e538375"/>
    <w:p>
      <w:pPr>
        <w:pStyle w:val="Heading2"/>
      </w:pPr>
      <w:r>
        <w:t xml:space="preserve">2. What Wall Street Expects</w:t>
      </w:r>
    </w:p>
    <w:p>
      <w:pPr>
        <w:pStyle w:val="FirstParagraph"/>
      </w:pPr>
      <w:r>
        <w:t xml:space="preserve">Consensus estimates going into the print (per Zacks/Visible Alpha-type compilations) call for:</w:t>
      </w:r>
    </w:p>
    <w:p>
      <w:pPr>
        <w:pStyle w:val="Compact"/>
        <w:numPr>
          <w:ilvl w:val="0"/>
          <w:numId w:val="1001"/>
        </w:numPr>
      </w:pPr>
      <w:r>
        <w:rPr>
          <w:b/>
          <w:bCs/>
        </w:rPr>
        <w:t xml:space="preserve">Adjusted EPS:</w:t>
      </w:r>
      <w:r>
        <w:t xml:space="preserve"> </w:t>
      </w:r>
      <w:r>
        <w:t xml:space="preserve">roughly</w:t>
      </w:r>
      <w:r>
        <w:t xml:space="preserve"> </w:t>
      </w:r>
      <m:oMath>
        <m:r>
          <m:t>1.86</m:t>
        </m:r>
        <m:r>
          <m:rPr>
            <m:sty m:val="p"/>
          </m:rPr>
          <m:t>–</m:t>
        </m:r>
      </m:oMath>
      <w:r>
        <w:t xml:space="preserve">1.89, up ~17% year-over-year from $1.61 in Q3 FY25</w:t>
      </w:r>
    </w:p>
    <w:p>
      <w:pPr>
        <w:pStyle w:val="Compact"/>
        <w:numPr>
          <w:ilvl w:val="0"/>
          <w:numId w:val="1001"/>
        </w:numPr>
      </w:pPr>
      <w:r>
        <w:rPr>
          <w:b/>
          <w:bCs/>
        </w:rPr>
        <w:t xml:space="preserve">Revenue:</w:t>
      </w:r>
      <w:r>
        <w:t xml:space="preserve"> </w:t>
      </w:r>
      <w:r>
        <w:t xml:space="preserve">roughly</w:t>
      </w:r>
      <w:r>
        <w:t xml:space="preserve"> </w:t>
      </w:r>
      <m:oMath>
        <m:r>
          <m:t>25.4</m:t>
        </m:r>
        <m:r>
          <m:rPr>
            <m:sty m:val="p"/>
          </m:rPr>
          <m:t>–</m:t>
        </m:r>
      </m:oMath>
      <w:r>
        <w:t xml:space="preserve">25.5 billion, up ~7–8% year-over-year</w:t>
      </w:r>
    </w:p>
    <w:p>
      <w:pPr>
        <w:pStyle w:val="Compact"/>
        <w:numPr>
          <w:ilvl w:val="0"/>
          <w:numId w:val="1001"/>
        </w:numPr>
      </w:pPr>
      <w:r>
        <w:t xml:space="preserve">Disney itself guided in May to</w:t>
      </w:r>
      <w:r>
        <w:t xml:space="preserve"> </w:t>
      </w:r>
      <w:r>
        <w:rPr>
          <w:b/>
          <w:bCs/>
        </w:rPr>
        <w:t xml:space="preserve">total segment operating income of approximately $5.3 billion</w:t>
      </w:r>
      <w:r>
        <w:t xml:space="preserve"> </w:t>
      </w:r>
      <w:r>
        <w:t xml:space="preserve">for the quarter, with UBS modeling a slightly more conservative $5.16 billion versus Street expectations of $5.24 billion</w:t>
      </w:r>
    </w:p>
    <w:p>
      <w:pPr>
        <w:pStyle w:val="FirstParagraph"/>
      </w:pPr>
      <w:r>
        <w:t xml:space="preserve">Disney has beaten EPS estimates for a dozen consecutive quarters, so the bar for a "beat" is high, and the more important variables will be the composition of the beat/miss and forward commentary rather than the headline number itself.</w:t>
      </w:r>
    </w:p>
    <w:bookmarkEnd w:id="10"/>
    <w:bookmarkStart w:id="11" w:name="Xb7ec5c95c0228915b549f9702a7c7afc9b7d279"/>
    <w:p>
      <w:pPr>
        <w:pStyle w:val="Heading2"/>
      </w:pPr>
      <w:r>
        <w:t xml:space="preserve">3. Key Segment Storylines to Watch</w:t>
      </w:r>
    </w:p>
    <w:p>
      <w:pPr>
        <w:pStyle w:val="FirstParagraph"/>
      </w:pPr>
      <w:r>
        <w:rPr>
          <w:b/>
          <w:bCs/>
        </w:rPr>
        <w:t xml:space="preserve">Entertainment / Streaming (Disney+, Hulu)</w:t>
      </w:r>
      <w:r>
        <w:t xml:space="preserve"> </w:t>
      </w:r>
      <w:r>
        <w:t xml:space="preserve">Momentum was building last quarter: Entertainment SVOD revenue growth accelerated to 13% in Q2 compared to the prior-year quarter, up from 11% in Q1, and the segment delivered our first double-digit Entertainment SVOD operating margin in Q2 and remain on track to deliver at least 10% for the full fiscal year 2026. Investors will want to see that margin trajectory sustained and subscriber/ARPU trends (rate plus volume growth) hold up as Disney continues investing in international local content and platform features (personalization, "Verts" vertical video, and the broader Disney+/Hulu/ESPN portal overhaul). Recent product news underscores this push: Disney has been overhauling Disney Plus into a portal that brings together Hulu, ESPN and its movie library, while rolling out features including a better recommendation algorithm and vertical videos designed to drive more frequent and long-term viewer engagement.</w:t>
      </w:r>
    </w:p>
    <w:p>
      <w:pPr>
        <w:pStyle w:val="BodyText"/>
      </w:pPr>
      <w:r>
        <w:rPr>
          <w:b/>
          <w:bCs/>
        </w:rPr>
        <w:t xml:space="preserve">Sports (ESPN/ABC)</w:t>
      </w:r>
      <w:r>
        <w:t xml:space="preserve"> </w:t>
      </w:r>
      <w:r>
        <w:t xml:space="preserve">This is the segment most likely to disappoint on a headline basis — management explicitly guided that For Q3, we expect Sports segment operating income to decline by approximately 14% when compared to the prior-year quarter, driven by a double-digit percentage increase in programming expenses, including the timing of new rights agreements. That guided decline should not be a surprise, but investors will focus on ESPN's direct-to-consumer trajectory, integration of the NFL Network/RedZone assets acquired in January, and early demand signals for content around ESPN's first Super Bowl (LXI, February 2027) — management noted we are already seeing strong demand for inventory around ESPN's first Super Bowl. Cost discipline is also in focus after ESPN began layoffs tied to integrating NFL assets, with cuts hitting on-air talent and other divisions including Pixar and National Geographic.</w:t>
      </w:r>
    </w:p>
    <w:p>
      <w:pPr>
        <w:pStyle w:val="BodyText"/>
      </w:pPr>
      <w:r>
        <w:rPr>
          <w:b/>
          <w:bCs/>
        </w:rPr>
        <w:t xml:space="preserve">Experiences (Parks, Resorts, Cruise)</w:t>
      </w:r>
      <w:r>
        <w:t xml:space="preserve"> </w:t>
      </w:r>
      <w:r>
        <w:t xml:space="preserve">Experiences was the standout in Q2, posting fiscal-second-quarter revenue and operating-income records with growth of 7% and 5%, respectively, relative to Q2 fiscal 2025. Management guided for improvement into Q3, expecting year-over-year attendance at our domestic parks in Q3 to show improvement compared to Q2 results as it laps prior headwinds from soft international visitation and pre-opening costs tied to the Disney Adventure cruise ship and Disneyland Paris's World of Frozen. Watch for updates on cruise fleet expansion (targeting 13 ships by 2031), the capital-light Abu Dhabi park and new Japan ship, and whether elevated oil/fuel prices tied to the Iran-related conflict are denting bookings — as of the May call, management said it had haven't seen any change in consumer behavior from elevated gas prices thus far and aren't currently seeing a material impact on the remainder of the fiscal year based on forward bookings, but flagged this as a risk to monitor.</w:t>
      </w:r>
    </w:p>
    <w:bookmarkEnd w:id="11"/>
    <w:bookmarkStart w:id="12" w:name="X4ffb17e63e54e06787a0ea66717ba24c28aec70"/>
    <w:p>
      <w:pPr>
        <w:pStyle w:val="Heading2"/>
      </w:pPr>
      <w:r>
        <w:t xml:space="preserve">4. Guidance to Reconcile</w:t>
      </w:r>
    </w:p>
    <w:p>
      <w:pPr>
        <w:pStyle w:val="FirstParagraph"/>
      </w:pPr>
      <w:r>
        <w:t xml:space="preserve">Management's prior full-year framework, set in May, is the benchmark for this call:</w:t>
      </w:r>
    </w:p>
    <w:p>
      <w:pPr>
        <w:pStyle w:val="Compact"/>
        <w:numPr>
          <w:ilvl w:val="0"/>
          <w:numId w:val="1002"/>
        </w:numPr>
      </w:pPr>
      <w:r>
        <w:t xml:space="preserve">FY26</w:t>
      </w:r>
      <w:r>
        <w:t xml:space="preserve"> </w:t>
      </w:r>
      <w:r>
        <w:rPr>
          <w:b/>
          <w:bCs/>
        </w:rPr>
        <w:t xml:space="preserve">adjusted EPS growth of approximately 12%</w:t>
      </w:r>
      <w:r>
        <w:t xml:space="preserve"> </w:t>
      </w:r>
      <w:r>
        <w:t xml:space="preserve">excluding the 53rd week (about 16% including it)</w:t>
      </w:r>
    </w:p>
    <w:p>
      <w:pPr>
        <w:pStyle w:val="Compact"/>
        <w:numPr>
          <w:ilvl w:val="0"/>
          <w:numId w:val="1002"/>
        </w:numPr>
      </w:pPr>
      <w:r>
        <w:rPr>
          <w:b/>
          <w:bCs/>
        </w:rPr>
        <w:t xml:space="preserve">At least $8 billion</w:t>
      </w:r>
      <w:r>
        <w:t xml:space="preserve"> </w:t>
      </w:r>
      <w:r>
        <w:t xml:space="preserve">in share repurchases targeted for FY26</w:t>
      </w:r>
    </w:p>
    <w:p>
      <w:pPr>
        <w:pStyle w:val="Compact"/>
        <w:numPr>
          <w:ilvl w:val="0"/>
          <w:numId w:val="1002"/>
        </w:numPr>
      </w:pPr>
      <w:r>
        <w:rPr>
          <w:b/>
          <w:bCs/>
        </w:rPr>
        <w:t xml:space="preserve">Double-digit adjusted EPS growth</w:t>
      </w:r>
      <w:r>
        <w:t xml:space="preserve"> </w:t>
      </w:r>
      <w:r>
        <w:t xml:space="preserve">expected again in FY27</w:t>
      </w:r>
    </w:p>
    <w:p>
      <w:pPr>
        <w:pStyle w:val="Compact"/>
        <w:numPr>
          <w:ilvl w:val="0"/>
          <w:numId w:val="1002"/>
        </w:numPr>
      </w:pPr>
      <w:r>
        <w:t xml:space="preserve">CFO Hugh Johnston reiterated that even with macro uncertainty, each business has levers in place to make adjustments in order to help offset those kinds of macro pressures</w:t>
      </w:r>
    </w:p>
    <w:p>
      <w:pPr>
        <w:pStyle w:val="FirstParagraph"/>
      </w:pPr>
      <w:r>
        <w:t xml:space="preserve">Watch whether management reaffirms, raises, or trims these targets, and whether commentary around the 53rd-week benefit (roughly a one 53rd or a little bit less than 2% benefit on our full year revenues) is unpacked further as FY26 nears its close.</w:t>
      </w:r>
    </w:p>
    <w:bookmarkEnd w:id="12"/>
    <w:bookmarkStart w:id="13" w:name="X7854e576ec0589cf5fffcf39592d4af85f7e3fd"/>
    <w:p>
      <w:pPr>
        <w:pStyle w:val="Heading2"/>
      </w:pPr>
      <w:r>
        <w:t xml:space="preserve">5. Wildcards and Risks</w:t>
      </w:r>
    </w:p>
    <w:p>
      <w:pPr>
        <w:pStyle w:val="Compact"/>
        <w:numPr>
          <w:ilvl w:val="0"/>
          <w:numId w:val="1003"/>
        </w:numPr>
      </w:pPr>
      <w:r>
        <w:rPr>
          <w:b/>
          <w:bCs/>
        </w:rPr>
        <w:t xml:space="preserve">FCC/ABC license dispute:</w:t>
      </w:r>
      <w:r>
        <w:t xml:space="preserve"> </w:t>
      </w:r>
      <w:r>
        <w:t xml:space="preserve">Disney and ABC are fighting an FCC review of eight local broadcast licenses, which they characterize as unconstitutional retaliation violating free speech protections tied to disputes over DEI practices, "The View," and Jimmy Kimmel commentary. Disney is seeking dismissal, and has support from a bipartisan group of former FCC officials including three former Republican chairmen. This is a low-probability/high-impact tail risk for the linear/ABC business rather than a near-term earnings driver, but could surface on the call.</w:t>
      </w:r>
    </w:p>
    <w:p>
      <w:pPr>
        <w:pStyle w:val="Compact"/>
        <w:numPr>
          <w:ilvl w:val="0"/>
          <w:numId w:val="1003"/>
        </w:numPr>
      </w:pPr>
      <w:r>
        <w:rPr>
          <w:b/>
          <w:bCs/>
        </w:rPr>
        <w:t xml:space="preserve">Macro/geopolitical:</w:t>
      </w:r>
      <w:r>
        <w:t xml:space="preserve"> </w:t>
      </w:r>
      <w:r>
        <w:t xml:space="preserve">Oil-price volatility tied to the Iran conflict is the top macro swing factor for both domestic and international park attendance and cruise bookings.</w:t>
      </w:r>
    </w:p>
    <w:p>
      <w:pPr>
        <w:pStyle w:val="Compact"/>
        <w:numPr>
          <w:ilvl w:val="0"/>
          <w:numId w:val="1003"/>
        </w:numPr>
      </w:pPr>
      <w:r>
        <w:rPr>
          <w:b/>
          <w:bCs/>
        </w:rPr>
        <w:t xml:space="preserve">Cost actions:</w:t>
      </w:r>
      <w:r>
        <w:t xml:space="preserve"> </w:t>
      </w:r>
      <w:r>
        <w:t xml:space="preserve">Ongoing layoffs at ESPN, Pixar and National Geographic signal continued efficiency efforts under D'Amaro; investors will want color on where savings are being redeployed (content/technology) versus flowing to margin.</w:t>
      </w:r>
    </w:p>
    <w:p>
      <w:pPr>
        <w:pStyle w:val="Compact"/>
        <w:numPr>
          <w:ilvl w:val="0"/>
          <w:numId w:val="1003"/>
        </w:numPr>
      </w:pPr>
      <w:r>
        <w:rPr>
          <w:b/>
          <w:bCs/>
        </w:rPr>
        <w:t xml:space="preserve">Brand partnerships:</w:t>
      </w:r>
      <w:r>
        <w:t xml:space="preserve"> </w:t>
      </w:r>
      <w:r>
        <w:t xml:space="preserve">The new multiyear Kraft Heinz alliance across parks, cruise ships and streaming is a modest but notable sign of Disney re-engaging sponsorship revenue as a lever, though it's unlikely to move the financial needle materially near-term.</w:t>
      </w:r>
    </w:p>
    <w:p>
      <w:pPr>
        <w:pStyle w:val="Compact"/>
        <w:numPr>
          <w:ilvl w:val="0"/>
          <w:numId w:val="1003"/>
        </w:numPr>
      </w:pPr>
      <w:r>
        <w:rPr>
          <w:b/>
          <w:bCs/>
        </w:rPr>
        <w:t xml:space="preserve">Content slate:</w:t>
      </w:r>
      <w:r>
        <w:t xml:space="preserve"> </w:t>
      </w:r>
      <w:r>
        <w:t xml:space="preserve">Near-term theatrical/streaming catalysts include</w:t>
      </w:r>
      <w:r>
        <w:t xml:space="preserve"> </w:t>
      </w:r>
      <w:r>
        <w:rPr>
          <w:i/>
          <w:iCs/>
        </w:rPr>
        <w:t xml:space="preserve">The Mandalorian &amp; Grogu</w:t>
      </w:r>
      <w:r>
        <w:t xml:space="preserve">,</w:t>
      </w:r>
      <w:r>
        <w:t xml:space="preserve"> </w:t>
      </w:r>
      <w:r>
        <w:rPr>
          <w:i/>
          <w:iCs/>
        </w:rPr>
        <w:t xml:space="preserve">Toy Story 5</w:t>
      </w:r>
      <w:r>
        <w:t xml:space="preserve">, live-action</w:t>
      </w:r>
      <w:r>
        <w:t xml:space="preserve"> </w:t>
      </w:r>
      <w:r>
        <w:rPr>
          <w:i/>
          <w:iCs/>
        </w:rPr>
        <w:t xml:space="preserve">Moana</w:t>
      </w:r>
      <w:r>
        <w:t xml:space="preserve">, and</w:t>
      </w:r>
      <w:r>
        <w:t xml:space="preserve"> </w:t>
      </w:r>
      <w:r>
        <w:rPr>
          <w:i/>
          <w:iCs/>
        </w:rPr>
        <w:t xml:space="preserve">Avengers: Doomsday</w:t>
      </w:r>
      <w:r>
        <w:t xml:space="preserve"> </w:t>
      </w:r>
      <w:r>
        <w:t xml:space="preserve">(December 2026) — the latter seen as a key FY27 catalyst rather than a Q3 driver.</w:t>
      </w:r>
    </w:p>
    <w:bookmarkEnd w:id="13"/>
    <w:bookmarkStart w:id="14" w:name="X49e34d9056703e0521ab3ce2e920b2c4ba97a36"/>
    <w:p>
      <w:pPr>
        <w:pStyle w:val="Heading2"/>
      </w:pPr>
      <w:r>
        <w:t xml:space="preserve">6. Bottom Line</w:t>
      </w:r>
    </w:p>
    <w:p>
      <w:pPr>
        <w:pStyle w:val="FirstParagraph"/>
      </w:pPr>
      <w:r>
        <w:t xml:space="preserve">Heading into Wednesday's print, the setup is one of "show me" skepticism after a rough 12 months for the stock (down materially from year-ago levels and off its 52-week high near</w:t>
      </w:r>
      <w:r>
        <w:t xml:space="preserve"> </w:t>
      </w:r>
      <m:oMath>
        <m:r>
          <m:t>120</m:t>
        </m:r>
        <m:r>
          <m:rPr>
            <m:sty m:val="p"/>
          </m:rPr>
          <m:t>)</m:t>
        </m:r>
        <m:r>
          <m:rPr>
            <m:sty m:val="p"/>
          </m:rPr>
          <m:t>.</m:t>
        </m:r>
        <m:r>
          <m:t>T</m:t>
        </m:r>
        <m:r>
          <m:t>h</m:t>
        </m:r>
        <m:r>
          <m:t>e</m:t>
        </m:r>
        <m:r>
          <m:t>q</m:t>
        </m:r>
        <m:r>
          <m:t>u</m:t>
        </m:r>
        <m:r>
          <m:t>a</m:t>
        </m:r>
        <m:r>
          <m:t>n</m:t>
        </m:r>
        <m:r>
          <m:t>t</m:t>
        </m:r>
        <m:r>
          <m:t>i</m:t>
        </m:r>
        <m:r>
          <m:t>t</m:t>
        </m:r>
        <m:r>
          <m:t>a</m:t>
        </m:r>
        <m:r>
          <m:t>t</m:t>
        </m:r>
        <m:r>
          <m:t>i</m:t>
        </m:r>
        <m:r>
          <m:t>v</m:t>
        </m:r>
        <m:r>
          <m:t>e</m:t>
        </m:r>
        <m:r>
          <m:t>b</m:t>
        </m:r>
        <m:r>
          <m:t>a</m:t>
        </m:r>
        <m:r>
          <m:t>r</m:t>
        </m:r>
        <m:r>
          <m:rPr>
            <m:sty m:val="p"/>
          </m:rPr>
          <m:t>(</m:t>
        </m:r>
        <m:r>
          <m:t> </m:t>
        </m:r>
      </m:oMath>
      <w:r>
        <w:t xml:space="preserve">1.86–1.89 adjusted EPS, ~</w:t>
      </w:r>
      <m:oMath>
        <m:r>
          <m:t>25.4</m:t>
        </m:r>
        <m:r>
          <m:rPr>
            <m:sty m:val="p"/>
          </m:rPr>
          <m:t>–</m:t>
        </m:r>
        <m:r>
          <m:t>25.5</m:t>
        </m:r>
        <m:r>
          <m:t>B</m:t>
        </m:r>
        <m:r>
          <m:t>r</m:t>
        </m:r>
        <m:r>
          <m:t>e</m:t>
        </m:r>
        <m:r>
          <m:t>v</m:t>
        </m:r>
        <m:r>
          <m:t>e</m:t>
        </m:r>
        <m:r>
          <m:t>n</m:t>
        </m:r>
        <m:r>
          <m:t>u</m:t>
        </m:r>
        <m:r>
          <m:t>e</m:t>
        </m:r>
        <m:r>
          <m:rPr>
            <m:sty m:val="p"/>
          </m:rPr>
          <m:t>,</m:t>
        </m:r>
        <m:r>
          <m:t> </m:t>
        </m:r>
      </m:oMath>
      <w:r>
        <w:t xml:space="preserve">5.3B segment OI) is achievable given management's own guidance, and the more important signals will be: (1) whether Entertainment/streaming margin and subscriber momentum continues toward the 10%+ SVOD margin target, (2) whether the guided ~14% Sports OI decline is confirmed as transitory (rights-cost timing) rather than structural, (3) whether domestic park attendance actually inflects positive as promised, and (4) any update to full-year adjusted EPS growth (~12%) and the $8B+ buyback pace. Commentary from D'Amaro on the Disney+ "digital centerpiece" strategy and AI-driven efficiency initiatives will also be watched closely as the market assesses the next phase of Disney's turnaround story.</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2026-08-05T00:23:27Z</dcterms:created>
  <dcterms:modified xsi:type="dcterms:W3CDTF">2026-08-05T00:23:27Z</dcterms:modified>
</cp:coreProperties>
</file>

<file path=docProps/custom.xml><?xml version="1.0" encoding="utf-8"?>
<Properties xmlns="http://schemas.openxmlformats.org/officeDocument/2006/custom-properties" xmlns:vt="http://schemas.openxmlformats.org/officeDocument/2006/docPropsVTypes"/>
</file>