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disney-fiscal-q3-2026-earnings-preview"/>
    <w:p>
      <w:pPr>
        <w:pStyle w:val="Heading1"/>
      </w:pPr>
      <w:r>
        <w:t xml:space="preserve">Disney Fiscal Q3 2026 Earnings Preview</w:t>
      </w:r>
    </w:p>
    <w:p>
      <w:pPr>
        <w:pStyle w:val="BlockText"/>
      </w:pPr>
      <w:r>
        <w:rPr>
          <w:b/>
          <w:bCs/>
        </w:rPr>
        <w:t xml:space="preserve">Timing note:</w:t>
      </w:r>
      <w:r>
        <w:t xml:space="preserve"> </w:t>
      </w:r>
      <w:r>
        <w:t xml:space="preserve">Disney’s August 4 press release says fiscal Q3 results will be posted</w:t>
      </w:r>
      <w:r>
        <w:t xml:space="preserve"> </w:t>
      </w:r>
      <w:r>
        <w:rPr>
          <w:b/>
          <w:bCs/>
        </w:rPr>
        <w:t xml:space="preserve">Wednesday, August 5, 2026, at approximately 6:30 a.m. ET</w:t>
      </w:r>
      <w:r>
        <w:t xml:space="preserve">, followed by the earnings webcast at</w:t>
      </w:r>
      <w:r>
        <w:t xml:space="preserve"> </w:t>
      </w:r>
      <w:r>
        <w:rPr>
          <w:b/>
          <w:bCs/>
        </w:rPr>
        <w:t xml:space="preserve">8:30 a.m. ET</w:t>
      </w:r>
      <w:r>
        <w:t xml:space="preserve">. Because today is August 5, the report is scheduled for</w:t>
      </w:r>
      <w:r>
        <w:t xml:space="preserve"> </w:t>
      </w:r>
      <w:r>
        <w:rPr>
          <w:b/>
          <w:bCs/>
        </w:rPr>
        <w:t xml:space="preserve">today</w:t>
      </w:r>
      <w:r>
        <w:t xml:space="preserve">, not tomorrow.</w:t>
      </w:r>
    </w:p>
    <w:bookmarkStart w:id="9" w:name="investment-setup"/>
    <w:p>
      <w:pPr>
        <w:pStyle w:val="Heading2"/>
      </w:pPr>
      <w:r>
        <w:t xml:space="preserve">Investment setup</w:t>
      </w:r>
    </w:p>
    <w:p>
      <w:pPr>
        <w:pStyle w:val="FirstParagraph"/>
      </w:pPr>
      <w:r>
        <w:t xml:space="preserve">Disney enters the report with a relatively low bar from the stock but a demanding operational target from management. Shares closed August 4 at</w:t>
      </w:r>
      <w:r>
        <w:t xml:space="preserve"> </w:t>
      </w:r>
      <w:r>
        <w:rPr>
          <w:b/>
          <w:bCs/>
        </w:rPr>
        <w:t xml:space="preserve">$98.20</w:t>
      </w:r>
      <w:r>
        <w:t xml:space="preserve">, down roughly</w:t>
      </w:r>
      <w:r>
        <w:t xml:space="preserve"> </w:t>
      </w:r>
      <w:r>
        <w:rPr>
          <w:b/>
          <w:bCs/>
        </w:rPr>
        <w:t xml:space="preserve">12% year to date</w:t>
      </w:r>
      <w:r>
        <w:t xml:space="preserve"> </w:t>
      </w:r>
      <w:r>
        <w:t xml:space="preserve">and about</w:t>
      </w:r>
      <w:r>
        <w:t xml:space="preserve"> </w:t>
      </w:r>
      <w:r>
        <w:rPr>
          <w:b/>
          <w:bCs/>
        </w:rPr>
        <w:t xml:space="preserve">9% since the May 6 fiscal Q2 report</w:t>
      </w:r>
      <w:r>
        <w:t xml:space="preserve">, despite Q2 results modestly exceeding guidance.</w:t>
      </w:r>
    </w:p>
    <w:p>
      <w:pPr>
        <w:pStyle w:val="BodyText"/>
      </w:pPr>
      <w:r>
        <w:t xml:space="preserve">The central question is no longer whether Disney can make streaming profitable. It is whether the company can simultaneously:</w:t>
      </w:r>
    </w:p>
    <w:p>
      <w:pPr>
        <w:pStyle w:val="Compact"/>
        <w:numPr>
          <w:ilvl w:val="0"/>
          <w:numId w:val="1001"/>
        </w:numPr>
      </w:pPr>
      <w:r>
        <w:t xml:space="preserve">Sustain profitable streaming growth;</w:t>
      </w:r>
    </w:p>
    <w:p>
      <w:pPr>
        <w:pStyle w:val="Compact"/>
        <w:numPr>
          <w:ilvl w:val="0"/>
          <w:numId w:val="1001"/>
        </w:numPr>
      </w:pPr>
      <w:r>
        <w:t xml:space="preserve">Absorb sharply higher sports-rights costs;</w:t>
      </w:r>
    </w:p>
    <w:p>
      <w:pPr>
        <w:pStyle w:val="Compact"/>
        <w:numPr>
          <w:ilvl w:val="0"/>
          <w:numId w:val="1001"/>
        </w:numPr>
      </w:pPr>
      <w:r>
        <w:t xml:space="preserve">Keep Experiences growing through a less certain consumer environment;</w:t>
      </w:r>
    </w:p>
    <w:p>
      <w:pPr>
        <w:pStyle w:val="Compact"/>
        <w:numPr>
          <w:ilvl w:val="0"/>
          <w:numId w:val="1001"/>
        </w:numPr>
      </w:pPr>
      <w:r>
        <w:t xml:space="preserve">Convert earnings growth into free cash flow while funding elevated capital spending and buybacks; and</w:t>
      </w:r>
    </w:p>
    <w:p>
      <w:pPr>
        <w:pStyle w:val="Compact"/>
        <w:numPr>
          <w:ilvl w:val="0"/>
          <w:numId w:val="1001"/>
        </w:numPr>
      </w:pPr>
      <w:r>
        <w:t xml:space="preserve">Deliver on the commitments inherited by CEO Josh D’Amaro.</w:t>
      </w:r>
    </w:p>
    <w:bookmarkEnd w:id="9"/>
    <w:bookmarkStart w:id="11" w:name="the-headline-hurdle"/>
    <w:p>
      <w:pPr>
        <w:pStyle w:val="Heading2"/>
      </w:pPr>
      <w:r>
        <w:t xml:space="preserve">The headline hurdle</w:t>
      </w:r>
    </w:p>
    <w:p>
      <w:pPr>
        <w:pStyle w:val="FirstParagraph"/>
      </w:pPr>
      <w:r>
        <w:t xml:space="preserve">Disney guided to approximately</w:t>
      </w:r>
      <w:r>
        <w:t xml:space="preserve"> </w:t>
      </w:r>
      <w:r>
        <w:rPr>
          <w:b/>
          <w:bCs/>
        </w:rPr>
        <w:t xml:space="preserve">$5.3 billion of total segment operating income</w:t>
      </w:r>
      <w:r>
        <w:t xml:space="preserve"> </w:t>
      </w:r>
      <w:r>
        <w:t xml:space="preserve">for fiscal Q3. That would represent roughly</w:t>
      </w:r>
      <w:r>
        <w:t xml:space="preserve"> </w:t>
      </w:r>
      <w:r>
        <w:rPr>
          <w:b/>
          <w:bCs/>
        </w:rPr>
        <w:t xml:space="preserve">16% growth</w:t>
      </w:r>
      <w:r>
        <w:t xml:space="preserve"> </w:t>
      </w:r>
      <w:r>
        <w:t xml:space="preserve">from the $4.58 billion reported in Q3 2025.</w:t>
      </w:r>
    </w:p>
    <w:p>
      <w:pPr>
        <w:pStyle w:val="BodyText"/>
      </w:pPr>
      <w:r>
        <w:t xml:space="preserve">That company-provided target is arguably more important than the headline EPS comparison because Disney’s GAAP results can be materially affected by transaction accounting, restructuring charges, tax items and noncontrolling interests.</w:t>
      </w:r>
    </w:p>
    <w:bookmarkStart w:id="10" w:name="guidance-investors-will-want-reaffirmed"/>
    <w:p>
      <w:pPr>
        <w:pStyle w:val="Heading3"/>
      </w:pPr>
      <w:r>
        <w:t xml:space="preserve">Guidance investors will want reaffirmed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outlook</w:t>
            </w:r>
          </w:p>
        </w:tc>
      </w:tr>
      <w:tr>
        <w:tc>
          <w:tcPr/>
          <w:p>
            <w:pPr>
              <w:pStyle w:val="Compact"/>
            </w:pPr>
            <w:r>
              <w:t xml:space="preserve">Fiscal 2026 adjusted EPS growth, excluding 53rd week</w:t>
            </w:r>
          </w:p>
        </w:tc>
        <w:tc>
          <w:tcPr/>
          <w:p>
            <w:pPr>
              <w:pStyle w:val="Compact"/>
              <w:jc w:val="right"/>
            </w:pPr>
            <w:r>
              <w:t xml:space="preserve">Approximately</w:t>
            </w:r>
            <w:r>
              <w:t xml:space="preserve"> </w:t>
            </w:r>
            <w:r>
              <w:rPr>
                <w:b/>
                <w:bCs/>
              </w:rPr>
              <w:t xml:space="preserve">12%</w:t>
            </w:r>
          </w:p>
        </w:tc>
      </w:tr>
      <w:tr>
        <w:tc>
          <w:tcPr/>
          <w:p>
            <w:pPr>
              <w:pStyle w:val="Compact"/>
            </w:pPr>
            <w:r>
              <w:t xml:space="preserve">Fiscal 2026 adjusted EPS growth, including 53rd week</w:t>
            </w:r>
          </w:p>
        </w:tc>
        <w:tc>
          <w:tcPr/>
          <w:p>
            <w:pPr>
              <w:pStyle w:val="Compact"/>
              <w:jc w:val="right"/>
            </w:pPr>
            <w:r>
              <w:t xml:space="preserve">Approximately</w:t>
            </w:r>
            <w:r>
              <w:t xml:space="preserve"> </w:t>
            </w:r>
            <w:r>
              <w:rPr>
                <w:b/>
                <w:bCs/>
              </w:rPr>
              <w:t xml:space="preserve">16%</w:t>
            </w:r>
          </w:p>
        </w:tc>
      </w:tr>
      <w:tr>
        <w:tc>
          <w:tcPr/>
          <w:p>
            <w:pPr>
              <w:pStyle w:val="Compact"/>
            </w:pPr>
            <w:r>
              <w:t xml:space="preserve">Fiscal 2027 adjusted EPS growth, excluding 53rd-week comparison</w:t>
            </w:r>
          </w:p>
        </w:tc>
        <w:tc>
          <w:tcPr/>
          <w:p>
            <w:pPr>
              <w:pStyle w:val="Compact"/>
              <w:jc w:val="right"/>
            </w:pPr>
            <w:r>
              <w:rPr>
                <w:b/>
                <w:bCs/>
              </w:rPr>
              <w:t xml:space="preserve">Double digits</w:t>
            </w:r>
          </w:p>
        </w:tc>
      </w:tr>
      <w:tr>
        <w:tc>
          <w:tcPr/>
          <w:p>
            <w:pPr>
              <w:pStyle w:val="Compact"/>
            </w:pPr>
            <w:r>
              <w:t xml:space="preserve">Fiscal 2026 share repurchases</w:t>
            </w:r>
          </w:p>
        </w:tc>
        <w:tc>
          <w:tcPr/>
          <w:p>
            <w:pPr>
              <w:pStyle w:val="Compact"/>
              <w:jc w:val="right"/>
            </w:pPr>
            <w:r>
              <w:t xml:space="preserve">At least</w:t>
            </w:r>
            <w:r>
              <w:t xml:space="preserve"> </w:t>
            </w:r>
            <w:r>
              <w:rPr>
                <w:b/>
                <w:bCs/>
              </w:rPr>
              <w:t xml:space="preserve">$8 billion</w:t>
            </w:r>
          </w:p>
        </w:tc>
      </w:tr>
      <w:tr>
        <w:tc>
          <w:tcPr/>
          <w:p>
            <w:pPr>
              <w:pStyle w:val="Compact"/>
            </w:pPr>
            <w:r>
              <w:t xml:space="preserve">Fiscal Q3 total segment operating income</w:t>
            </w:r>
          </w:p>
        </w:tc>
        <w:tc>
          <w:tcPr/>
          <w:p>
            <w:pPr>
              <w:pStyle w:val="Compact"/>
              <w:jc w:val="right"/>
            </w:pPr>
            <w:r>
              <w:t xml:space="preserve">Approximately</w:t>
            </w:r>
            <w:r>
              <w:t xml:space="preserve"> </w:t>
            </w:r>
            <w:r>
              <w:rPr>
                <w:b/>
                <w:bCs/>
              </w:rPr>
              <w:t xml:space="preserve">$5.3 billion</w:t>
            </w:r>
          </w:p>
        </w:tc>
      </w:tr>
      <w:tr>
        <w:tc>
          <w:tcPr/>
          <w:p>
            <w:pPr>
              <w:pStyle w:val="Compact"/>
            </w:pPr>
            <w:r>
              <w:t xml:space="preserve">Fiscal 2026 Entertainment SVOD margin</w:t>
            </w:r>
          </w:p>
        </w:tc>
        <w:tc>
          <w:tcPr/>
          <w:p>
            <w:pPr>
              <w:pStyle w:val="Compact"/>
              <w:jc w:val="right"/>
            </w:pPr>
            <w:r>
              <w:t xml:space="preserve">At least</w:t>
            </w:r>
            <w:r>
              <w:t xml:space="preserve"> </w:t>
            </w:r>
            <w:r>
              <w:rPr>
                <w:b/>
                <w:bCs/>
              </w:rPr>
              <w:t xml:space="preserve">10%</w:t>
            </w:r>
          </w:p>
        </w:tc>
      </w:tr>
    </w:tbl>
    <w:p>
      <w:pPr>
        <w:pStyle w:val="BodyText"/>
      </w:pPr>
      <w:r>
        <w:t xml:space="preserve">A result near $5.3 billion accompanied by unchanged full-year guidance would be acceptable. A clear operating-income beat plus reaffirmation—or an increase—of the fiscal 2026 and 2027 outlooks would constitute a stronger report.</w:t>
      </w:r>
    </w:p>
    <w:bookmarkEnd w:id="10"/>
    <w:bookmarkEnd w:id="11"/>
    <w:bookmarkStart w:id="13" w:name="X0cf23fd6fe57ad51d84e11faa27188b9c83d972"/>
    <w:p>
      <w:pPr>
        <w:pStyle w:val="Heading2"/>
      </w:pPr>
      <w:r>
        <w:t xml:space="preserve">1. Streaming: Can Disney hold a double-digit margin while reinvesting?</w:t>
      </w:r>
    </w:p>
    <w:p>
      <w:pPr>
        <w:pStyle w:val="FirstParagraph"/>
      </w:pPr>
      <w:r>
        <w:t xml:space="preserve">Streaming was the strongest part of the Q2 narrative:</w:t>
      </w:r>
    </w:p>
    <w:p>
      <w:pPr>
        <w:pStyle w:val="Compact"/>
        <w:numPr>
          <w:ilvl w:val="0"/>
          <w:numId w:val="1002"/>
        </w:numPr>
      </w:pPr>
      <w:r>
        <w:t xml:space="preserve">Entertainment SVOD revenue rose</w:t>
      </w:r>
      <w:r>
        <w:t xml:space="preserve"> </w:t>
      </w:r>
      <w:r>
        <w:rPr>
          <w:b/>
          <w:bCs/>
        </w:rPr>
        <w:t xml:space="preserve">13%</w:t>
      </w:r>
      <w:r>
        <w:t xml:space="preserve"> </w:t>
      </w:r>
      <w:r>
        <w:t xml:space="preserve">year over year to $5.49 billion.</w:t>
      </w:r>
    </w:p>
    <w:p>
      <w:pPr>
        <w:pStyle w:val="Compact"/>
        <w:numPr>
          <w:ilvl w:val="0"/>
          <w:numId w:val="1002"/>
        </w:numPr>
      </w:pPr>
      <w:r>
        <w:t xml:space="preserve">SVOD operating income increased</w:t>
      </w:r>
      <w:r>
        <w:t xml:space="preserve"> </w:t>
      </w:r>
      <w:r>
        <w:rPr>
          <w:b/>
          <w:bCs/>
        </w:rPr>
        <w:t xml:space="preserve">88%</w:t>
      </w:r>
      <w:r>
        <w:t xml:space="preserve"> </w:t>
      </w:r>
      <w:r>
        <w:t xml:space="preserve">to $582 million.</w:t>
      </w:r>
    </w:p>
    <w:p>
      <w:pPr>
        <w:pStyle w:val="Compact"/>
        <w:numPr>
          <w:ilvl w:val="0"/>
          <w:numId w:val="1002"/>
        </w:numPr>
      </w:pPr>
      <w:r>
        <w:t xml:space="preserve">SVOD operating margin reached</w:t>
      </w:r>
      <w:r>
        <w:t xml:space="preserve"> </w:t>
      </w:r>
      <w:r>
        <w:rPr>
          <w:b/>
          <w:bCs/>
        </w:rPr>
        <w:t xml:space="preserve">10.6%</w:t>
      </w:r>
      <w:r>
        <w:t xml:space="preserve">, Disney’s first double-digit quarterly margin.</w:t>
      </w:r>
    </w:p>
    <w:p>
      <w:pPr>
        <w:pStyle w:val="Compact"/>
        <w:numPr>
          <w:ilvl w:val="0"/>
          <w:numId w:val="1002"/>
        </w:numPr>
      </w:pPr>
      <w:r>
        <w:t xml:space="preserve">Subscription revenue increased</w:t>
      </w:r>
      <w:r>
        <w:t xml:space="preserve"> </w:t>
      </w:r>
      <w:r>
        <w:rPr>
          <w:b/>
          <w:bCs/>
        </w:rPr>
        <w:t xml:space="preserve">16%</w:t>
      </w:r>
      <w:r>
        <w:t xml:space="preserve">, while advertising revenue rose</w:t>
      </w:r>
      <w:r>
        <w:t xml:space="preserve"> </w:t>
      </w:r>
      <w:r>
        <w:rPr>
          <w:b/>
          <w:bCs/>
        </w:rPr>
        <w:t xml:space="preserve">12%</w:t>
      </w:r>
      <w:r>
        <w:t xml:space="preserve">.</w:t>
      </w:r>
    </w:p>
    <w:p>
      <w:pPr>
        <w:pStyle w:val="Compact"/>
        <w:numPr>
          <w:ilvl w:val="0"/>
          <w:numId w:val="1002"/>
        </w:numPr>
      </w:pPr>
      <w:r>
        <w:t xml:space="preserve">Management reiterated its target of at least a</w:t>
      </w:r>
      <w:r>
        <w:t xml:space="preserve"> </w:t>
      </w:r>
      <w:r>
        <w:rPr>
          <w:b/>
          <w:bCs/>
        </w:rPr>
        <w:t xml:space="preserve">10% full-year SVOD margin</w:t>
      </w:r>
      <w:r>
        <w:t xml:space="preserve">.</w:t>
      </w:r>
    </w:p>
    <w:p>
      <w:pPr>
        <w:pStyle w:val="FirstParagraph"/>
      </w:pPr>
      <w:r>
        <w:t xml:space="preserve">The challenge is that Disney is increasing spending on content, international originals, technology, personalization and marketing. Investors therefore should not evaluate Q3 solely on sequential margin expansion. The healthier outcome would be continued double-digit revenue growth with margins holding near the full-year target despite reinvestment.</w:t>
      </w:r>
    </w:p>
    <w:bookmarkStart w:id="12" w:name="what-to-watch"/>
    <w:p>
      <w:pPr>
        <w:pStyle w:val="Heading3"/>
      </w:pPr>
      <w:r>
        <w:t xml:space="preserve">What to watch</w:t>
      </w:r>
    </w:p>
    <w:p>
      <w:pPr>
        <w:pStyle w:val="Compact"/>
        <w:numPr>
          <w:ilvl w:val="0"/>
          <w:numId w:val="1003"/>
        </w:numPr>
      </w:pPr>
      <w:r>
        <w:t xml:space="preserve">SVOD subscription and advertising revenue growth;</w:t>
      </w:r>
    </w:p>
    <w:p>
      <w:pPr>
        <w:pStyle w:val="Compact"/>
        <w:numPr>
          <w:ilvl w:val="0"/>
          <w:numId w:val="1003"/>
        </w:numPr>
      </w:pPr>
      <w:r>
        <w:t xml:space="preserve">Whether growth continues to come from both price and volume;</w:t>
      </w:r>
    </w:p>
    <w:p>
      <w:pPr>
        <w:pStyle w:val="Compact"/>
        <w:numPr>
          <w:ilvl w:val="0"/>
          <w:numId w:val="1003"/>
        </w:numPr>
      </w:pPr>
      <w:r>
        <w:t xml:space="preserve">Churn and engagement commentary following product changes;</w:t>
      </w:r>
    </w:p>
    <w:p>
      <w:pPr>
        <w:pStyle w:val="Compact"/>
        <w:numPr>
          <w:ilvl w:val="0"/>
          <w:numId w:val="1003"/>
        </w:numPr>
      </w:pPr>
      <w:r>
        <w:t xml:space="preserve">International Disney+ growth and the economics of wholesale distribution;</w:t>
      </w:r>
    </w:p>
    <w:p>
      <w:pPr>
        <w:pStyle w:val="Compact"/>
        <w:numPr>
          <w:ilvl w:val="0"/>
          <w:numId w:val="1003"/>
        </w:numPr>
      </w:pPr>
      <w:r>
        <w:t xml:space="preserve">Progress integrating Hulu, ESPN and Disney+ into a more unified product;</w:t>
      </w:r>
    </w:p>
    <w:p>
      <w:pPr>
        <w:pStyle w:val="Compact"/>
        <w:numPr>
          <w:ilvl w:val="0"/>
          <w:numId w:val="1003"/>
        </w:numPr>
      </w:pPr>
      <w:r>
        <w:t xml:space="preserve">Whether technology and content investments are beginning to pressure margins.</w:t>
      </w:r>
    </w:p>
    <w:p>
      <w:pPr>
        <w:pStyle w:val="FirstParagraph"/>
      </w:pPr>
      <w:r>
        <w:t xml:space="preserve">The most important signal may be management’s confidence in sustained profitable growth rather than a single quarter’s subscriber count. Disney has increasingly emphasized revenue, engagement and profitability over raw subscriber additions.</w:t>
      </w:r>
    </w:p>
    <w:bookmarkEnd w:id="12"/>
    <w:bookmarkEnd w:id="13"/>
    <w:bookmarkStart w:id="15" w:name="Xa2cb5047190d2dc2809e619cdf11789dfcdd46e"/>
    <w:p>
      <w:pPr>
        <w:pStyle w:val="Heading2"/>
      </w:pPr>
      <w:r>
        <w:t xml:space="preserve">2. Sports: The expected weak spot</w:t>
      </w:r>
    </w:p>
    <w:p>
      <w:pPr>
        <w:pStyle w:val="FirstParagraph"/>
      </w:pPr>
      <w:r>
        <w:t xml:space="preserve">Disney has already warned that fiscal Q3 Sports operating income should decline approximately</w:t>
      </w:r>
      <w:r>
        <w:t xml:space="preserve"> </w:t>
      </w:r>
      <w:r>
        <w:rPr>
          <w:b/>
          <w:bCs/>
        </w:rPr>
        <w:t xml:space="preserve">14%</w:t>
      </w:r>
      <w:r>
        <w:t xml:space="preserve"> </w:t>
      </w:r>
      <w:r>
        <w:t xml:space="preserve">year over year, primarily because programming expense is expected to increase at a double-digit rate. Applied to the prior-year result, that implies Sports operating income of roughly</w:t>
      </w:r>
      <w:r>
        <w:t xml:space="preserve"> </w:t>
      </w:r>
      <w:r>
        <w:rPr>
          <w:b/>
          <w:bCs/>
        </w:rPr>
        <w:t xml:space="preserve">$890 million</w:t>
      </w:r>
      <w:r>
        <w:t xml:space="preserve">, versus $1.04 billion in Q3 2025.</w:t>
      </w:r>
    </w:p>
    <w:p>
      <w:pPr>
        <w:pStyle w:val="BodyText"/>
      </w:pPr>
      <w:r>
        <w:t xml:space="preserve">Higher costs reflect the timing of new rights agreements, including NBA-related expense, as well as investments supporting ESPN’s direct-to-consumer transition.</w:t>
      </w:r>
    </w:p>
    <w:p>
      <w:pPr>
        <w:pStyle w:val="BodyText"/>
      </w:pPr>
      <w:r>
        <w:t xml:space="preserve">At the same time, Disney expects full-year Sports operating income to grow by a</w:t>
      </w:r>
      <w:r>
        <w:t xml:space="preserve"> </w:t>
      </w:r>
      <w:r>
        <w:rPr>
          <w:b/>
          <w:bCs/>
        </w:rPr>
        <w:t xml:space="preserve">mid-single-digit percentage</w:t>
      </w:r>
      <w:r>
        <w:t xml:space="preserve">, excluding the 53rd week and including the NFL transaction. That makes the Q3 decline manageable if management remains confident in the full-year trajectory.</w:t>
      </w:r>
    </w:p>
    <w:bookmarkStart w:id="14" w:name="key-questions"/>
    <w:p>
      <w:pPr>
        <w:pStyle w:val="Heading3"/>
      </w:pPr>
      <w:r>
        <w:t xml:space="preserve">Key questions</w:t>
      </w:r>
    </w:p>
    <w:p>
      <w:pPr>
        <w:pStyle w:val="Compact"/>
        <w:numPr>
          <w:ilvl w:val="0"/>
          <w:numId w:val="1004"/>
        </w:numPr>
      </w:pPr>
      <w:r>
        <w:t xml:space="preserve">Is the Q3 Sports decline limited to the roughly 14% previously forecast?</w:t>
      </w:r>
    </w:p>
    <w:p>
      <w:pPr>
        <w:pStyle w:val="Compact"/>
        <w:numPr>
          <w:ilvl w:val="0"/>
          <w:numId w:val="1004"/>
        </w:numPr>
      </w:pPr>
      <w:r>
        <w:t xml:space="preserve">Are ESPN digital subscription revenues still offsetting linear subscriber erosion?</w:t>
      </w:r>
    </w:p>
    <w:p>
      <w:pPr>
        <w:pStyle w:val="Compact"/>
        <w:numPr>
          <w:ilvl w:val="0"/>
          <w:numId w:val="1004"/>
        </w:numPr>
      </w:pPr>
      <w:r>
        <w:t xml:space="preserve">What are the early economics and engagement trends for ESPN Unlimited?</w:t>
      </w:r>
    </w:p>
    <w:p>
      <w:pPr>
        <w:pStyle w:val="Compact"/>
        <w:numPr>
          <w:ilvl w:val="0"/>
          <w:numId w:val="1004"/>
        </w:numPr>
      </w:pPr>
      <w:r>
        <w:t xml:space="preserve">How quickly are the NFL Network and RedZone assets being integrated?</w:t>
      </w:r>
    </w:p>
    <w:p>
      <w:pPr>
        <w:pStyle w:val="Compact"/>
        <w:numPr>
          <w:ilvl w:val="0"/>
          <w:numId w:val="1004"/>
        </w:numPr>
      </w:pPr>
      <w:r>
        <w:t xml:space="preserve">Are layoffs and organizational changes generating meaningful efficiencies?</w:t>
      </w:r>
    </w:p>
    <w:p>
      <w:pPr>
        <w:pStyle w:val="Compact"/>
        <w:numPr>
          <w:ilvl w:val="0"/>
          <w:numId w:val="1004"/>
        </w:numPr>
      </w:pPr>
      <w:r>
        <w:t xml:space="preserve">Does management still expect full-year mid-single-digit Sports operating-income growth?</w:t>
      </w:r>
    </w:p>
    <w:p>
      <w:pPr>
        <w:pStyle w:val="FirstParagraph"/>
      </w:pPr>
      <w:r>
        <w:t xml:space="preserve">A worse-than-guided decline, particularly if blamed on rights inflation rather than timing, would raise concerns about the long-term economics of ESPN’s migration from linear television to streaming.</w:t>
      </w:r>
    </w:p>
    <w:bookmarkEnd w:id="14"/>
    <w:bookmarkEnd w:id="15"/>
    <w:bookmarkStart w:id="17" w:name="X5fd2db097f04d05850c7b30f35d790df7e80bf4"/>
    <w:p>
      <w:pPr>
        <w:pStyle w:val="Heading2"/>
      </w:pPr>
      <w:r>
        <w:t xml:space="preserve">3. Experiences: Demand matters more than pricing</w:t>
      </w:r>
    </w:p>
    <w:p>
      <w:pPr>
        <w:pStyle w:val="FirstParagraph"/>
      </w:pPr>
      <w:r>
        <w:t xml:space="preserve">Experiences remains Disney’s largest earnings contributor. In Q2:</w:t>
      </w:r>
    </w:p>
    <w:p>
      <w:pPr>
        <w:pStyle w:val="Compact"/>
        <w:numPr>
          <w:ilvl w:val="0"/>
          <w:numId w:val="1005"/>
        </w:numPr>
      </w:pPr>
      <w:r>
        <w:t xml:space="preserve">Revenue increased</w:t>
      </w:r>
      <w:r>
        <w:t xml:space="preserve"> </w:t>
      </w:r>
      <w:r>
        <w:rPr>
          <w:b/>
          <w:bCs/>
        </w:rPr>
        <w:t xml:space="preserve">7%</w:t>
      </w:r>
      <w:r>
        <w:t xml:space="preserve"> </w:t>
      </w:r>
      <w:r>
        <w:t xml:space="preserve">to $9.49 billion.</w:t>
      </w:r>
    </w:p>
    <w:p>
      <w:pPr>
        <w:pStyle w:val="Compact"/>
        <w:numPr>
          <w:ilvl w:val="0"/>
          <w:numId w:val="1005"/>
        </w:numPr>
      </w:pPr>
      <w:r>
        <w:t xml:space="preserve">Operating income rose</w:t>
      </w:r>
      <w:r>
        <w:t xml:space="preserve"> </w:t>
      </w:r>
      <w:r>
        <w:rPr>
          <w:b/>
          <w:bCs/>
        </w:rPr>
        <w:t xml:space="preserve">5%</w:t>
      </w:r>
      <w:r>
        <w:t xml:space="preserve"> </w:t>
      </w:r>
      <w:r>
        <w:t xml:space="preserve">to $2.62 billion.</w:t>
      </w:r>
    </w:p>
    <w:p>
      <w:pPr>
        <w:pStyle w:val="Compact"/>
        <w:numPr>
          <w:ilvl w:val="0"/>
          <w:numId w:val="1005"/>
        </w:numPr>
      </w:pPr>
      <w:r>
        <w:t xml:space="preserve">Domestic park attendance declined</w:t>
      </w:r>
      <w:r>
        <w:t xml:space="preserve"> </w:t>
      </w:r>
      <w:r>
        <w:rPr>
          <w:b/>
          <w:bCs/>
        </w:rPr>
        <w:t xml:space="preserve">1%</w:t>
      </w:r>
      <w:r>
        <w:t xml:space="preserve">.</w:t>
      </w:r>
    </w:p>
    <w:p>
      <w:pPr>
        <w:pStyle w:val="Compact"/>
        <w:numPr>
          <w:ilvl w:val="0"/>
          <w:numId w:val="1005"/>
        </w:numPr>
      </w:pPr>
      <w:r>
        <w:t xml:space="preserve">Domestic per-capita spending increased</w:t>
      </w:r>
      <w:r>
        <w:t xml:space="preserve"> </w:t>
      </w:r>
      <w:r>
        <w:rPr>
          <w:b/>
          <w:bCs/>
        </w:rPr>
        <w:t xml:space="preserve">5%</w:t>
      </w:r>
      <w:r>
        <w:t xml:space="preserve">.</w:t>
      </w:r>
    </w:p>
    <w:p>
      <w:pPr>
        <w:pStyle w:val="Compact"/>
        <w:numPr>
          <w:ilvl w:val="0"/>
          <w:numId w:val="1005"/>
        </w:numPr>
      </w:pPr>
      <w:r>
        <w:t xml:space="preserve">Global guests, including cruise passenger days, increased approximately</w:t>
      </w:r>
      <w:r>
        <w:t xml:space="preserve"> </w:t>
      </w:r>
      <w:r>
        <w:rPr>
          <w:b/>
          <w:bCs/>
        </w:rPr>
        <w:t xml:space="preserve">2%</w:t>
      </w:r>
      <w:r>
        <w:t xml:space="preserve">.</w:t>
      </w:r>
    </w:p>
    <w:p>
      <w:pPr>
        <w:pStyle w:val="FirstParagraph"/>
      </w:pPr>
      <w:r>
        <w:t xml:space="preserve">Management said domestic attendance should improve in Q3 relative to Q2 as Disney begins lapping international-visitation and competitive headwinds. Forward bookings were described as encouraging, Walt Disney World bookings were pacing strongly, and cruise occupancy remained in line with the prior year despite a roughly 40% increase in capacity.</w:t>
      </w:r>
    </w:p>
    <w:p>
      <w:pPr>
        <w:pStyle w:val="BodyText"/>
      </w:pPr>
      <w:r>
        <w:t xml:space="preserve">The risk is that Q2’s growth depended more on price and cruise expansion than on domestic attendance. Investors will want evidence that underlying volumes are stabilizing without Disney relying excessively on higher guest spending.</w:t>
      </w:r>
    </w:p>
    <w:bookmarkStart w:id="16" w:name="what-to-monitor"/>
    <w:p>
      <w:pPr>
        <w:pStyle w:val="Heading3"/>
      </w:pPr>
      <w:r>
        <w:t xml:space="preserve">What to monitor</w:t>
      </w:r>
    </w:p>
    <w:p>
      <w:pPr>
        <w:pStyle w:val="Compact"/>
        <w:numPr>
          <w:ilvl w:val="0"/>
          <w:numId w:val="1006"/>
        </w:numPr>
      </w:pPr>
      <w:r>
        <w:t xml:space="preserve">Domestic attendance versus the prior year;</w:t>
      </w:r>
    </w:p>
    <w:p>
      <w:pPr>
        <w:pStyle w:val="Compact"/>
        <w:numPr>
          <w:ilvl w:val="0"/>
          <w:numId w:val="1006"/>
        </w:numPr>
      </w:pPr>
      <w:r>
        <w:t xml:space="preserve">Per-capita spending and hotel occupancy;</w:t>
      </w:r>
    </w:p>
    <w:p>
      <w:pPr>
        <w:pStyle w:val="Compact"/>
        <w:numPr>
          <w:ilvl w:val="0"/>
          <w:numId w:val="1006"/>
        </w:numPr>
      </w:pPr>
      <w:r>
        <w:t xml:space="preserve">International visitation to the U.S. parks;</w:t>
      </w:r>
    </w:p>
    <w:p>
      <w:pPr>
        <w:pStyle w:val="Compact"/>
        <w:numPr>
          <w:ilvl w:val="0"/>
          <w:numId w:val="1006"/>
        </w:numPr>
      </w:pPr>
      <w:r>
        <w:t xml:space="preserve">Cruise occupancy and profitability as new capacity ramps;</w:t>
      </w:r>
    </w:p>
    <w:p>
      <w:pPr>
        <w:pStyle w:val="Compact"/>
        <w:numPr>
          <w:ilvl w:val="0"/>
          <w:numId w:val="1006"/>
        </w:numPr>
      </w:pPr>
      <w:r>
        <w:t xml:space="preserve">Labor, fuel and other inflationary costs;</w:t>
      </w:r>
    </w:p>
    <w:p>
      <w:pPr>
        <w:pStyle w:val="Compact"/>
        <w:numPr>
          <w:ilvl w:val="0"/>
          <w:numId w:val="1006"/>
        </w:numPr>
      </w:pPr>
      <w:r>
        <w:t xml:space="preserve">Any deterioration in forward bookings;</w:t>
      </w:r>
    </w:p>
    <w:p>
      <w:pPr>
        <w:pStyle w:val="Compact"/>
        <w:numPr>
          <w:ilvl w:val="0"/>
          <w:numId w:val="1006"/>
        </w:numPr>
      </w:pPr>
      <w:r>
        <w:t xml:space="preserve">Returns from World of Frozen and the Disney Adventure;</w:t>
      </w:r>
    </w:p>
    <w:p>
      <w:pPr>
        <w:pStyle w:val="Compact"/>
        <w:numPr>
          <w:ilvl w:val="0"/>
          <w:numId w:val="1006"/>
        </w:numPr>
      </w:pPr>
      <w:r>
        <w:t xml:space="preserve">Pre-opening costs for future Experiences projects.</w:t>
      </w:r>
    </w:p>
    <w:p>
      <w:pPr>
        <w:pStyle w:val="FirstParagraph"/>
      </w:pPr>
      <w:r>
        <w:t xml:space="preserve">The comparison is not easy: Experiences operating income rose</w:t>
      </w:r>
      <w:r>
        <w:t xml:space="preserve"> </w:t>
      </w:r>
      <w:r>
        <w:rPr>
          <w:b/>
          <w:bCs/>
        </w:rPr>
        <w:t xml:space="preserve">13%</w:t>
      </w:r>
      <w:r>
        <w:t xml:space="preserve"> </w:t>
      </w:r>
      <w:r>
        <w:t xml:space="preserve">in Q3 2025, including</w:t>
      </w:r>
      <w:r>
        <w:t xml:space="preserve"> </w:t>
      </w:r>
      <w:r>
        <w:rPr>
          <w:b/>
          <w:bCs/>
        </w:rPr>
        <w:t xml:space="preserve">22% growth</w:t>
      </w:r>
      <w:r>
        <w:t xml:space="preserve"> </w:t>
      </w:r>
      <w:r>
        <w:t xml:space="preserve">at Domestic Parks &amp; Experiences. Even modest growth against that base would be constructive if booking trends remain healthy.</w:t>
      </w:r>
    </w:p>
    <w:bookmarkEnd w:id="16"/>
    <w:bookmarkEnd w:id="17"/>
    <w:bookmarkStart w:id="19" w:name="X36143af2326c60ed77e24084c40e1949dc7bd30"/>
    <w:p>
      <w:pPr>
        <w:pStyle w:val="Heading2"/>
      </w:pPr>
      <w:r>
        <w:t xml:space="preserve">4. Entertainment: Streaming growth must outrun linear erosion</w:t>
      </w:r>
    </w:p>
    <w:p>
      <w:pPr>
        <w:pStyle w:val="FirstParagraph"/>
      </w:pPr>
      <w:r>
        <w:t xml:space="preserve">Disney’s Q2 Entertainment segment revenue increased</w:t>
      </w:r>
      <w:r>
        <w:t xml:space="preserve"> </w:t>
      </w:r>
      <w:r>
        <w:rPr>
          <w:b/>
          <w:bCs/>
        </w:rPr>
        <w:t xml:space="preserve">10%</w:t>
      </w:r>
      <w:r>
        <w:t xml:space="preserve">, while operating income rose</w:t>
      </w:r>
      <w:r>
        <w:t xml:space="preserve"> </w:t>
      </w:r>
      <w:r>
        <w:rPr>
          <w:b/>
          <w:bCs/>
        </w:rPr>
        <w:t xml:space="preserve">6%</w:t>
      </w:r>
      <w:r>
        <w:t xml:space="preserve">. Streaming growth more than offset declining linear-network economics, but costs also increased because of greater programming, production, technology and distribution spending.</w:t>
      </w:r>
    </w:p>
    <w:p>
      <w:pPr>
        <w:pStyle w:val="BodyText"/>
      </w:pPr>
      <w:r>
        <w:t xml:space="preserve">Management’s broader thesis is that Entertainment should be evaluated as one content-and-distribution ecosystem rather than as separate streaming and linear businesses. Disney now generates more Entertainment subscription, affiliate and advertising revenue from SVOD than from linear television.</w:t>
      </w:r>
    </w:p>
    <w:p>
      <w:pPr>
        <w:pStyle w:val="BodyText"/>
      </w:pPr>
      <w:r>
        <w:t xml:space="preserve">For investors, that thesis works only if consolidated Entertainment operating income continues growing while linear declines.</w:t>
      </w:r>
    </w:p>
    <w:bookmarkStart w:id="18" w:name="important-indicators"/>
    <w:p>
      <w:pPr>
        <w:pStyle w:val="Heading3"/>
      </w:pPr>
      <w:r>
        <w:t xml:space="preserve">Important indicators</w:t>
      </w:r>
    </w:p>
    <w:p>
      <w:pPr>
        <w:pStyle w:val="Compact"/>
        <w:numPr>
          <w:ilvl w:val="0"/>
          <w:numId w:val="1007"/>
        </w:numPr>
      </w:pPr>
      <w:r>
        <w:t xml:space="preserve">Entertainment segment operating-income growth;</w:t>
      </w:r>
    </w:p>
    <w:p>
      <w:pPr>
        <w:pStyle w:val="Compact"/>
        <w:numPr>
          <w:ilvl w:val="0"/>
          <w:numId w:val="1007"/>
        </w:numPr>
      </w:pPr>
      <w:r>
        <w:t xml:space="preserve">SVOD gains relative to linear-network declines;</w:t>
      </w:r>
    </w:p>
    <w:p>
      <w:pPr>
        <w:pStyle w:val="Compact"/>
        <w:numPr>
          <w:ilvl w:val="0"/>
          <w:numId w:val="1007"/>
        </w:numPr>
      </w:pPr>
      <w:r>
        <w:t xml:space="preserve">Advertising pricing and impressions across streaming and linear;</w:t>
      </w:r>
    </w:p>
    <w:p>
      <w:pPr>
        <w:pStyle w:val="Compact"/>
        <w:numPr>
          <w:ilvl w:val="0"/>
          <w:numId w:val="1007"/>
        </w:numPr>
      </w:pPr>
      <w:r>
        <w:t xml:space="preserve">Theatrical profitability, not just box-office revenue;</w:t>
      </w:r>
    </w:p>
    <w:p>
      <w:pPr>
        <w:pStyle w:val="Compact"/>
        <w:numPr>
          <w:ilvl w:val="0"/>
          <w:numId w:val="1007"/>
        </w:numPr>
      </w:pPr>
      <w:r>
        <w:t xml:space="preserve">Content spending and impairments;</w:t>
      </w:r>
    </w:p>
    <w:p>
      <w:pPr>
        <w:pStyle w:val="Compact"/>
        <w:numPr>
          <w:ilvl w:val="0"/>
          <w:numId w:val="1007"/>
        </w:numPr>
      </w:pPr>
      <w:r>
        <w:t xml:space="preserve">Evidence that films and series are creating value across streaming, products and Experiences.</w:t>
      </w:r>
    </w:p>
    <w:p>
      <w:pPr>
        <w:pStyle w:val="FirstParagraph"/>
      </w:pPr>
      <w:r>
        <w:t xml:space="preserve">Management should also provide evidence that its content strategy can generate new franchises rather than relying indefinitely on sequels, remakes and established intellectual property.</w:t>
      </w:r>
    </w:p>
    <w:bookmarkEnd w:id="18"/>
    <w:bookmarkEnd w:id="19"/>
    <w:bookmarkStart w:id="21" w:name="X62295fbb3b4c0ef975965bb78569dce3f47e953"/>
    <w:p>
      <w:pPr>
        <w:pStyle w:val="Heading2"/>
      </w:pPr>
      <w:r>
        <w:t xml:space="preserve">5. Free cash flow and capital allocation</w:t>
      </w:r>
    </w:p>
    <w:p>
      <w:pPr>
        <w:pStyle w:val="FirstParagraph"/>
      </w:pPr>
      <w:r>
        <w:t xml:space="preserve">Disney’s first-half adjusted earnings performance was stronger than its cash-flow profile:</w:t>
      </w:r>
    </w:p>
    <w:p>
      <w:pPr>
        <w:pStyle w:val="Compact"/>
        <w:numPr>
          <w:ilvl w:val="0"/>
          <w:numId w:val="1008"/>
        </w:numPr>
      </w:pPr>
      <w:r>
        <w:t xml:space="preserve">First-half free cash flow declined</w:t>
      </w:r>
      <w:r>
        <w:t xml:space="preserve"> </w:t>
      </w:r>
      <w:r>
        <w:rPr>
          <w:b/>
          <w:bCs/>
        </w:rPr>
        <w:t xml:space="preserve">53%</w:t>
      </w:r>
      <w:r>
        <w:t xml:space="preserve"> </w:t>
      </w:r>
      <w:r>
        <w:t xml:space="preserve">to $2.66 billion.</w:t>
      </w:r>
    </w:p>
    <w:p>
      <w:pPr>
        <w:pStyle w:val="Compact"/>
        <w:numPr>
          <w:ilvl w:val="0"/>
          <w:numId w:val="1008"/>
        </w:numPr>
      </w:pPr>
      <w:r>
        <w:t xml:space="preserve">Operating cash flow fell because of higher tax payments and increased content spending.</w:t>
      </w:r>
    </w:p>
    <w:p>
      <w:pPr>
        <w:pStyle w:val="Compact"/>
        <w:numPr>
          <w:ilvl w:val="0"/>
          <w:numId w:val="1008"/>
        </w:numPr>
      </w:pPr>
      <w:r>
        <w:t xml:space="preserve">Capital expenditures increased to approximately</w:t>
      </w:r>
      <w:r>
        <w:t xml:space="preserve"> </w:t>
      </w:r>
      <w:r>
        <w:rPr>
          <w:b/>
          <w:bCs/>
        </w:rPr>
        <w:t xml:space="preserve">$5.0 billion</w:t>
      </w:r>
      <w:r>
        <w:t xml:space="preserve">, largely because of cruise ships and park expansion.</w:t>
      </w:r>
    </w:p>
    <w:p>
      <w:pPr>
        <w:pStyle w:val="Compact"/>
        <w:numPr>
          <w:ilvl w:val="0"/>
          <w:numId w:val="1008"/>
        </w:numPr>
      </w:pPr>
      <w:r>
        <w:t xml:space="preserve">Disney repurchased</w:t>
      </w:r>
      <w:r>
        <w:t xml:space="preserve"> </w:t>
      </w:r>
      <w:r>
        <w:rPr>
          <w:b/>
          <w:bCs/>
        </w:rPr>
        <w:t xml:space="preserve">$5.5 billion</w:t>
      </w:r>
      <w:r>
        <w:t xml:space="preserve"> </w:t>
      </w:r>
      <w:r>
        <w:t xml:space="preserve">of stock during the first half.</w:t>
      </w:r>
    </w:p>
    <w:p>
      <w:pPr>
        <w:pStyle w:val="Compact"/>
        <w:numPr>
          <w:ilvl w:val="0"/>
          <w:numId w:val="1008"/>
        </w:numPr>
      </w:pPr>
      <w:r>
        <w:t xml:space="preserve">Management is targeting at least</w:t>
      </w:r>
      <w:r>
        <w:t xml:space="preserve"> </w:t>
      </w:r>
      <w:r>
        <w:rPr>
          <w:b/>
          <w:bCs/>
        </w:rPr>
        <w:t xml:space="preserve">$8 billion</w:t>
      </w:r>
      <w:r>
        <w:t xml:space="preserve"> </w:t>
      </w:r>
      <w:r>
        <w:t xml:space="preserve">of fiscal 2026 repurchases.</w:t>
      </w:r>
    </w:p>
    <w:p>
      <w:pPr>
        <w:pStyle w:val="FirstParagraph"/>
      </w:pPr>
      <w:r>
        <w:t xml:space="preserve">Some first-half cash-flow weakness was timing-related, particularly tax payments. Nevertheless, investors should examine whether cash generation is keeping pace with buybacks, dividends and the company’s capital-intensive Experiences strategy.</w:t>
      </w:r>
    </w:p>
    <w:bookmarkStart w:id="20" w:name="questions-for-management"/>
    <w:p>
      <w:pPr>
        <w:pStyle w:val="Heading3"/>
      </w:pPr>
      <w:r>
        <w:t xml:space="preserve">Questions for management</w:t>
      </w:r>
    </w:p>
    <w:p>
      <w:pPr>
        <w:pStyle w:val="Compact"/>
        <w:numPr>
          <w:ilvl w:val="0"/>
          <w:numId w:val="1009"/>
        </w:numPr>
      </w:pPr>
      <w:r>
        <w:t xml:space="preserve">Is fiscal 2026 free cash flow tracking to plan?</w:t>
      </w:r>
    </w:p>
    <w:p>
      <w:pPr>
        <w:pStyle w:val="Compact"/>
        <w:numPr>
          <w:ilvl w:val="0"/>
          <w:numId w:val="1009"/>
        </w:numPr>
      </w:pPr>
      <w:r>
        <w:t xml:space="preserve">How much of the first-half cash-flow decline should reverse?</w:t>
      </w:r>
    </w:p>
    <w:p>
      <w:pPr>
        <w:pStyle w:val="Compact"/>
        <w:numPr>
          <w:ilvl w:val="0"/>
          <w:numId w:val="1009"/>
        </w:numPr>
      </w:pPr>
      <w:r>
        <w:t xml:space="preserve">Will Disney exceed the $8 billion repurchase target?</w:t>
      </w:r>
    </w:p>
    <w:p>
      <w:pPr>
        <w:pStyle w:val="Compact"/>
        <w:numPr>
          <w:ilvl w:val="0"/>
          <w:numId w:val="1009"/>
        </w:numPr>
      </w:pPr>
      <w:r>
        <w:t xml:space="preserve">Is incremental borrowing supporting buybacks or temporary working-capital needs?</w:t>
      </w:r>
    </w:p>
    <w:p>
      <w:pPr>
        <w:pStyle w:val="Compact"/>
        <w:numPr>
          <w:ilvl w:val="0"/>
          <w:numId w:val="1009"/>
        </w:numPr>
      </w:pPr>
      <w:r>
        <w:t xml:space="preserve">When will cruise and park investments begin producing a visible earnings return?</w:t>
      </w:r>
    </w:p>
    <w:p>
      <w:pPr>
        <w:pStyle w:val="Compact"/>
        <w:numPr>
          <w:ilvl w:val="0"/>
          <w:numId w:val="1009"/>
        </w:numPr>
      </w:pPr>
      <w:r>
        <w:t xml:space="preserve">Can Disney fund elevated capital spending without compromising balance-sheet flexibility?</w:t>
      </w:r>
    </w:p>
    <w:p>
      <w:pPr>
        <w:pStyle w:val="FirstParagraph"/>
      </w:pPr>
      <w:r>
        <w:t xml:space="preserve">A buyback is most valuable if it is funded by durable free cash flow rather than higher leverage.</w:t>
      </w:r>
    </w:p>
    <w:bookmarkEnd w:id="20"/>
    <w:bookmarkEnd w:id="21"/>
    <w:bookmarkStart w:id="22" w:name="what-would-constitute-a-strong-report"/>
    <w:p>
      <w:pPr>
        <w:pStyle w:val="Heading2"/>
      </w:pPr>
      <w:r>
        <w:t xml:space="preserve">What would constitute a strong report?</w:t>
      </w:r>
    </w:p>
    <w:p>
      <w:pPr>
        <w:pStyle w:val="FirstParagraph"/>
      </w:pPr>
      <w:r>
        <w:t xml:space="preserve">A bullish result would likely include most of the following:</w:t>
      </w:r>
    </w:p>
    <w:p>
      <w:pPr>
        <w:pStyle w:val="Compact"/>
        <w:numPr>
          <w:ilvl w:val="0"/>
          <w:numId w:val="1010"/>
        </w:numPr>
      </w:pPr>
      <w:r>
        <w:t xml:space="preserve">Total segment operating income above the</w:t>
      </w:r>
      <w:r>
        <w:t xml:space="preserve"> </w:t>
      </w:r>
      <w:r>
        <w:rPr>
          <w:b/>
          <w:bCs/>
        </w:rPr>
        <w:t xml:space="preserve">$5.3 billion</w:t>
      </w:r>
      <w:r>
        <w:t xml:space="preserve"> </w:t>
      </w:r>
      <w:r>
        <w:t xml:space="preserve">target;</w:t>
      </w:r>
    </w:p>
    <w:p>
      <w:pPr>
        <w:pStyle w:val="Compact"/>
        <w:numPr>
          <w:ilvl w:val="0"/>
          <w:numId w:val="1010"/>
        </w:numPr>
      </w:pPr>
      <w:r>
        <w:t xml:space="preserve">Reaffirmed or increased fiscal 2026 adjusted EPS guidance;</w:t>
      </w:r>
    </w:p>
    <w:p>
      <w:pPr>
        <w:pStyle w:val="Compact"/>
        <w:numPr>
          <w:ilvl w:val="0"/>
          <w:numId w:val="1010"/>
        </w:numPr>
      </w:pPr>
      <w:r>
        <w:t xml:space="preserve">Continued confidence in double-digit fiscal 2027 adjusted EPS growth;</w:t>
      </w:r>
    </w:p>
    <w:p>
      <w:pPr>
        <w:pStyle w:val="Compact"/>
        <w:numPr>
          <w:ilvl w:val="0"/>
          <w:numId w:val="1010"/>
        </w:numPr>
      </w:pPr>
      <w:r>
        <w:t xml:space="preserve">SVOD revenue growth remaining around double digits with margins near or above 10%;</w:t>
      </w:r>
    </w:p>
    <w:p>
      <w:pPr>
        <w:pStyle w:val="Compact"/>
        <w:numPr>
          <w:ilvl w:val="0"/>
          <w:numId w:val="1010"/>
        </w:numPr>
      </w:pPr>
      <w:r>
        <w:t xml:space="preserve">Sports operating income no worse than the guided 14% decline;</w:t>
      </w:r>
    </w:p>
    <w:p>
      <w:pPr>
        <w:pStyle w:val="Compact"/>
        <w:numPr>
          <w:ilvl w:val="0"/>
          <w:numId w:val="1010"/>
        </w:numPr>
      </w:pPr>
      <w:r>
        <w:t xml:space="preserve">Improving domestic park attendance and resilient forward bookings;</w:t>
      </w:r>
    </w:p>
    <w:p>
      <w:pPr>
        <w:pStyle w:val="Compact"/>
        <w:numPr>
          <w:ilvl w:val="0"/>
          <w:numId w:val="1010"/>
        </w:numPr>
      </w:pPr>
      <w:r>
        <w:t xml:space="preserve">Evidence that cruise capacity is ramping profitably;</w:t>
      </w:r>
    </w:p>
    <w:p>
      <w:pPr>
        <w:pStyle w:val="Compact"/>
        <w:numPr>
          <w:ilvl w:val="0"/>
          <w:numId w:val="1010"/>
        </w:numPr>
      </w:pPr>
      <w:r>
        <w:t xml:space="preserve">Better cash-flow conversion and continued confidence in the buyback target.</w:t>
      </w:r>
    </w:p>
    <w:bookmarkEnd w:id="22"/>
    <w:bookmarkStart w:id="23" w:name="what-could-disappoint"/>
    <w:p>
      <w:pPr>
        <w:pStyle w:val="Heading2"/>
      </w:pPr>
      <w:r>
        <w:t xml:space="preserve">What could disappoint?</w:t>
      </w:r>
    </w:p>
    <w:p>
      <w:pPr>
        <w:pStyle w:val="FirstParagraph"/>
      </w:pPr>
      <w:r>
        <w:t xml:space="preserve">The principal downside risks are:</w:t>
      </w:r>
    </w:p>
    <w:p>
      <w:pPr>
        <w:pStyle w:val="Compact"/>
        <w:numPr>
          <w:ilvl w:val="0"/>
          <w:numId w:val="1011"/>
        </w:numPr>
      </w:pPr>
      <w:r>
        <w:t xml:space="preserve">A miss against the $5.3 billion operating-income target;</w:t>
      </w:r>
    </w:p>
    <w:p>
      <w:pPr>
        <w:pStyle w:val="Compact"/>
        <w:numPr>
          <w:ilvl w:val="0"/>
          <w:numId w:val="1011"/>
        </w:numPr>
      </w:pPr>
      <w:r>
        <w:t xml:space="preserve">Softer domestic park bookings or consumer spending;</w:t>
      </w:r>
    </w:p>
    <w:p>
      <w:pPr>
        <w:pStyle w:val="Compact"/>
        <w:numPr>
          <w:ilvl w:val="0"/>
          <w:numId w:val="1011"/>
        </w:numPr>
      </w:pPr>
      <w:r>
        <w:t xml:space="preserve">Streaming margins falling materially as investment rises;</w:t>
      </w:r>
    </w:p>
    <w:p>
      <w:pPr>
        <w:pStyle w:val="Compact"/>
        <w:numPr>
          <w:ilvl w:val="0"/>
          <w:numId w:val="1011"/>
        </w:numPr>
      </w:pPr>
      <w:r>
        <w:t xml:space="preserve">Sports costs exceeding guidance;</w:t>
      </w:r>
    </w:p>
    <w:p>
      <w:pPr>
        <w:pStyle w:val="Compact"/>
        <w:numPr>
          <w:ilvl w:val="0"/>
          <w:numId w:val="1011"/>
        </w:numPr>
      </w:pPr>
      <w:r>
        <w:t xml:space="preserve">A reduction in fiscal 2026 or 2027 EPS expectations;</w:t>
      </w:r>
    </w:p>
    <w:p>
      <w:pPr>
        <w:pStyle w:val="Compact"/>
        <w:numPr>
          <w:ilvl w:val="0"/>
          <w:numId w:val="1011"/>
        </w:numPr>
      </w:pPr>
      <w:r>
        <w:t xml:space="preserve">Weak free cash flow despite reported earnings growth;</w:t>
      </w:r>
    </w:p>
    <w:p>
      <w:pPr>
        <w:pStyle w:val="Compact"/>
        <w:numPr>
          <w:ilvl w:val="0"/>
          <w:numId w:val="1011"/>
        </w:numPr>
      </w:pPr>
      <w:r>
        <w:t xml:space="preserve">Increased leverage alongside aggressive repurchases;</w:t>
      </w:r>
    </w:p>
    <w:p>
      <w:pPr>
        <w:pStyle w:val="Compact"/>
        <w:numPr>
          <w:ilvl w:val="0"/>
          <w:numId w:val="1011"/>
        </w:numPr>
      </w:pPr>
      <w:r>
        <w:t xml:space="preserve">Regulatory uncertainty around Disney’s ABC broadcast licenses becoming a larger operational issue.</w:t>
      </w:r>
    </w:p>
    <w:bookmarkEnd w:id="23"/>
    <w:bookmarkStart w:id="24" w:name="bottom-line"/>
    <w:p>
      <w:pPr>
        <w:pStyle w:val="Heading2"/>
      </w:pPr>
      <w:r>
        <w:t xml:space="preserve">Bottom line</w:t>
      </w:r>
    </w:p>
    <w:p>
      <w:pPr>
        <w:pStyle w:val="FirstParagraph"/>
      </w:pPr>
      <w:r>
        <w:t xml:space="preserve">This report is primarily an</w:t>
      </w:r>
      <w:r>
        <w:t xml:space="preserve"> </w:t>
      </w:r>
      <w:r>
        <w:rPr>
          <w:b/>
          <w:bCs/>
        </w:rPr>
        <w:t xml:space="preserve">execution test</w:t>
      </w:r>
      <w:r>
        <w:t xml:space="preserve">. Disney has promised accelerating second-half earnings growth, a double-digit streaming margin, resilient Experiences demand, manageable sports-cost pressure and substantial capital returns.</w:t>
      </w:r>
    </w:p>
    <w:p>
      <w:pPr>
        <w:pStyle w:val="BodyText"/>
      </w:pPr>
      <w:r>
        <w:t xml:space="preserve">The company does not need every segment to improve in Q3: Sports is already expected to decline. But streaming and Experiences must more than compensate, allowing Disney to meet or exceed the</w:t>
      </w:r>
      <w:r>
        <w:t xml:space="preserve"> </w:t>
      </w:r>
      <w:r>
        <w:rPr>
          <w:b/>
          <w:bCs/>
        </w:rPr>
        <w:t xml:space="preserve">$5.3 billion segment operating-income target</w:t>
      </w:r>
      <w:r>
        <w:t xml:space="preserve"> </w:t>
      </w:r>
      <w:r>
        <w:t xml:space="preserve">without weakening its fiscal 2026 and 2027 outlooks.</w:t>
      </w:r>
    </w:p>
    <w:p>
      <w:pPr>
        <w:pStyle w:val="BodyText"/>
      </w:pPr>
      <w:r>
        <w:t xml:space="preserve">Given the stock’s decline into the report, expectations appear restrained. That creates room for upside if Disney beats its own operating-income target and provides credible evidence that streaming growth, park demand and cash generation can support its multiyear earnings commitments. Conversely, a guidance cut—especially one tied to Experiences demand or streaming economics—would challenge the core investment case.</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2026-08-05T00:16:31Z</dcterms:created>
  <dcterms:modified xsi:type="dcterms:W3CDTF">2026-08-05T00:16:31Z</dcterms:modified>
</cp:coreProperties>
</file>

<file path=docProps/custom.xml><?xml version="1.0" encoding="utf-8"?>
<Properties xmlns="http://schemas.openxmlformats.org/officeDocument/2006/custom-properties" xmlns:vt="http://schemas.openxmlformats.org/officeDocument/2006/docPropsVTypes"/>
</file>