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 vs. cons $1.86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~$5.34B vs. cons $5.30B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Experiences segment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~$2.89B vs. cons $2.85B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outlook, including the 53rd week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~$6.88 vs. cons $6.83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growth outlook, excluding the 53rd week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~$7.57 vs. cons $7.45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share repurchase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~$8.0B vs. cons $8.0B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~$1.91 vs.</w:t>
            </w:r>
            <w:r>
              <w:t xml:space="preserve"> </w:t>
            </w:r>
            <m:oMath>
              <m:r>
                <m:t>1.86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c</m:t>
              </m:r>
              <m:r>
                <m:t>o</m:t>
              </m:r>
              <m:r>
                <m:t>m</m:t>
              </m:r>
              <m:r>
                <m:t>b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 </m:t>
              </m:r>
            </m:oMath>
            <w:r>
              <w:t xml:space="preserve">5.34B vs.</w:t>
            </w:r>
            <w:r>
              <w:t xml:space="preserve"> </w:t>
            </w:r>
            <m:oMath>
              <m:r>
                <m:t>5.30</m:t>
              </m:r>
              <m:r>
                <m:t>B</m:t>
              </m:r>
              <m:r>
                <m:t>s</m:t>
              </m:r>
              <m:r>
                <m:t>e</m:t>
              </m:r>
              <m:r>
                <m:t>g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I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rPr>
                  <m:sty m:val="p"/>
                </m:rPr>
                <m:t>/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i</m:t>
              </m:r>
              <m:r>
                <m:t>f</m:t>
              </m:r>
              <m:r>
                <m:t>D</m:t>
              </m:r>
              <m:r>
                <m:t>i</m:t>
              </m:r>
              <m:r>
                <m:t>s</m:t>
              </m:r>
              <m:r>
                <m:t>n</m:t>
              </m:r>
              <m:r>
                <m:t>e</m:t>
              </m:r>
              <m:r>
                <m:t>y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s</m:t>
              </m:r>
              <m:r>
                <m:t> </m:t>
              </m:r>
            </m:oMath>
            <w:r>
              <w:t xml:space="preserve">6.88 vs.</w:t>
            </w:r>
            <w:r>
              <w:t xml:space="preserve"> </w:t>
            </w:r>
            <m:oMath>
              <m:r>
                <m:t>6.83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 </m:t>
              </m:r>
            </m:oMath>
            <w:r>
              <w:t xml:space="preserve">7.57 vs. $7.45 for FY2027. The key is that the beat is expected to be Experiences- and streaming-margin-led rather than a below-the-line or timing-driven result, limiting the risk of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2026-08-05T00:16:09Z</dcterms:created>
  <dcterms:modified xsi:type="dcterms:W3CDTF">2026-08-05T00:16:09Z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