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67da22342d6342e196294ddf2271c70c65d6b8"/>
    <w:p>
      <w:pPr>
        <w:pStyle w:val="Heading1"/>
      </w:pPr>
      <w:r>
        <w:t xml:space="preserve">Disney (DIS) Fiscal Q3 2026 Earnings Preview</w:t>
      </w:r>
    </w:p>
    <w:p>
      <w:pPr>
        <w:pStyle w:val="BlockText"/>
      </w:pPr>
      <w:r>
        <w:rPr>
          <w:b/>
          <w:bCs/>
        </w:rPr>
        <w:t xml:space="preserve">Date clarification:</w:t>
      </w:r>
      <w:r>
        <w:t xml:space="preserve"> </w:t>
      </w:r>
      <w:r>
        <w:t xml:space="preserve">August 5, 2026 is</w:t>
      </w:r>
      <w:r>
        <w:t xml:space="preserve"> </w:t>
      </w:r>
      <w:r>
        <w:rPr>
          <w:b/>
          <w:bCs/>
        </w:rPr>
        <w:t xml:space="preserve">today</w:t>
      </w:r>
      <w:r>
        <w:t xml:space="preserve"> </w:t>
      </w:r>
      <w:r>
        <w:t xml:space="preserve">(Wednesday), not tomorrow. This preview is written for Disney’s fiscal Q3 2026 report and earnings call scheduled for</w:t>
      </w:r>
      <w:r>
        <w:t xml:space="preserve"> </w:t>
      </w:r>
      <w:r>
        <w:rPr>
          <w:b/>
          <w:bCs/>
        </w:rPr>
        <w:t xml:space="preserve">August 5, 2026</w:t>
      </w:r>
      <w:r>
        <w:t xml:space="preserve">.</w:t>
      </w:r>
    </w:p>
    <w:bookmarkStart w:id="9" w:name="Xc5580579c98fcdaf773318a870dca9a23df2c5a"/>
    <w:p>
      <w:pPr>
        <w:pStyle w:val="Heading2"/>
      </w:pPr>
      <w:r>
        <w:t xml:space="preserve">Investment view: the report is principally a test of execution against a high operating-income bar</w:t>
      </w:r>
    </w:p>
    <w:p>
      <w:pPr>
        <w:pStyle w:val="FirstParagraph"/>
      </w:pPr>
      <w:r>
        <w:t xml:space="preserve">Disney enters earnings with a clearer but demanding setup. At its May report, management guided to</w:t>
      </w:r>
      <w:r>
        <w:t xml:space="preserve"> </w:t>
      </w:r>
      <w:r>
        <w:rPr>
          <w:b/>
          <w:bCs/>
        </w:rPr>
        <w:t xml:space="preserve">approximately $5.3 billion of Q3 total segment operating income</w:t>
      </w:r>
      <w:r>
        <w:t xml:space="preserve">, which implies roughly</w:t>
      </w:r>
      <w:r>
        <w:t xml:space="preserve"> </w:t>
      </w:r>
      <w:r>
        <w:rPr>
          <w:b/>
          <w:bCs/>
        </w:rPr>
        <w:t xml:space="preserve">16% growth</w:t>
      </w:r>
      <w:r>
        <w:t xml:space="preserve"> </w:t>
      </w:r>
      <w:r>
        <w:t xml:space="preserve">versus the $4.575 billion reported in fiscal Q3 2025. That guidance is the central benchmark for the release—not merely whether Disney beats or misses on adjusted EPS.</w:t>
      </w:r>
    </w:p>
    <w:p>
      <w:pPr>
        <w:pStyle w:val="BodyText"/>
      </w:pPr>
      <w:r>
        <w:t xml:space="preserve">The company’s equity setup appears relatively cautious. DIS closed at</w:t>
      </w:r>
      <w:r>
        <w:t xml:space="preserve"> </w:t>
      </w:r>
      <w:r>
        <w:rPr>
          <w:b/>
          <w:bCs/>
        </w:rPr>
        <w:t xml:space="preserve">$98.20 on August 4</w:t>
      </w:r>
      <w:r>
        <w:t xml:space="preserve">, about</w:t>
      </w:r>
      <w:r>
        <w:t xml:space="preserve"> </w:t>
      </w:r>
      <w:r>
        <w:rPr>
          <w:b/>
          <w:bCs/>
        </w:rPr>
        <w:t xml:space="preserve">9% below</w:t>
      </w:r>
      <w:r>
        <w:t xml:space="preserve"> </w:t>
      </w:r>
      <w:r>
        <w:t xml:space="preserve">its May 6 post-earnings close of $108.06, and the recent news flow has focused on consumer/macro risk at Experiences, streaming competition, rising sports-rights costs, linear-TV erosion, and regulatory pressure around ABC licenses. That backdrop could leave room for a positive reaction if Disney both delivers the Q3 operating-income guide and credibly reiterates its full-year outlook.</w:t>
      </w:r>
    </w:p>
    <w:bookmarkEnd w:id="9"/>
    <w:bookmarkStart w:id="10" w:name="what-management-has-already-committed-to"/>
    <w:p>
      <w:pPr>
        <w:pStyle w:val="Heading2"/>
      </w:pPr>
      <w:r>
        <w:t xml:space="preserve">What management has already committed to</w:t>
      </w:r>
    </w:p>
    <w:p>
      <w:pPr>
        <w:pStyle w:val="FirstParagraph"/>
      </w:pPr>
      <w:r>
        <w:t xml:space="preserve">At Q2, Disney reaffirmed:</w:t>
      </w:r>
    </w:p>
    <w:p>
      <w:pPr>
        <w:pStyle w:val="Compact"/>
        <w:numPr>
          <w:ilvl w:val="0"/>
          <w:numId w:val="1001"/>
        </w:numPr>
      </w:pPr>
      <w:r>
        <w:rPr>
          <w:b/>
          <w:bCs/>
        </w:rPr>
        <w:t xml:space="preserve">Fiscal 2026 adjusted EPS growth of ~12%</w:t>
      </w:r>
      <w:r>
        <w:t xml:space="preserve">, excluding the 53rd week; ~16% including it.</w:t>
      </w:r>
    </w:p>
    <w:p>
      <w:pPr>
        <w:pStyle w:val="Compact"/>
        <w:numPr>
          <w:ilvl w:val="0"/>
          <w:numId w:val="1001"/>
        </w:numPr>
      </w:pPr>
      <w:r>
        <w:rPr>
          <w:b/>
          <w:bCs/>
        </w:rPr>
        <w:t xml:space="preserve">At least $8 billion of share repurchases</w:t>
      </w:r>
      <w:r>
        <w:t xml:space="preserve"> </w:t>
      </w:r>
      <w:r>
        <w:t xml:space="preserve">for fiscal 2026.</w:t>
      </w:r>
    </w:p>
    <w:p>
      <w:pPr>
        <w:pStyle w:val="Compact"/>
        <w:numPr>
          <w:ilvl w:val="0"/>
          <w:numId w:val="1001"/>
        </w:numPr>
      </w:pPr>
      <w:r>
        <w:rPr>
          <w:b/>
          <w:bCs/>
        </w:rPr>
        <w:t xml:space="preserve">Double-digit adjusted EPS growth in fiscal 2027</w:t>
      </w:r>
      <w:r>
        <w:t xml:space="preserve">, excluding the 53rd week.</w:t>
      </w:r>
    </w:p>
    <w:p>
      <w:pPr>
        <w:pStyle w:val="Compact"/>
        <w:numPr>
          <w:ilvl w:val="0"/>
          <w:numId w:val="1001"/>
        </w:numPr>
      </w:pPr>
      <w:r>
        <w:rPr>
          <w:b/>
          <w:bCs/>
        </w:rPr>
        <w:t xml:space="preserve">Q3 total segment operating income of approximately $5.3 billion.</w:t>
      </w:r>
    </w:p>
    <w:p>
      <w:pPr>
        <w:pStyle w:val="Compact"/>
        <w:numPr>
          <w:ilvl w:val="0"/>
          <w:numId w:val="1001"/>
        </w:numPr>
      </w:pPr>
      <w:r>
        <w:rPr>
          <w:b/>
          <w:bCs/>
        </w:rPr>
        <w:t xml:space="preserve">At least a 10% full-year Entertainment SVOD operating margin.</w:t>
      </w:r>
    </w:p>
    <w:p>
      <w:pPr>
        <w:pStyle w:val="Compact"/>
        <w:numPr>
          <w:ilvl w:val="0"/>
          <w:numId w:val="1001"/>
        </w:numPr>
      </w:pPr>
      <w:r>
        <w:rPr>
          <w:b/>
          <w:bCs/>
        </w:rPr>
        <w:t xml:space="preserve">Mid-single-digit Sports segment operating-income growth for FY26</w:t>
      </w:r>
      <w:r>
        <w:t xml:space="preserve">, including the NFL transaction, despite a difficult Q3 comparison.</w:t>
      </w:r>
    </w:p>
    <w:p>
      <w:pPr>
        <w:pStyle w:val="FirstParagraph"/>
      </w:pPr>
      <w:r>
        <w:t xml:space="preserve">This is an execution story: investors will care most about whether the company can absorb sports-rights inflation and legacy-linear pressure while preserving growth in streaming and Experiences.</w:t>
      </w:r>
    </w:p>
    <w:p>
      <w:r>
        <w:pict>
          <v:rect style="width:0;height:1.5pt" o:hralign="center" o:hrstd="t" o:hr="t"/>
        </w:pict>
      </w:r>
    </w:p>
    <w:bookmarkEnd w:id="10"/>
    <w:bookmarkStart w:id="14" w:name="the-three-variables-that-matter-most"/>
    <w:p>
      <w:pPr>
        <w:pStyle w:val="Heading2"/>
      </w:pPr>
      <w:r>
        <w:t xml:space="preserve">The three variables that matter most</w:t>
      </w:r>
    </w:p>
    <w:bookmarkStart w:id="11" w:name="Xaa1baecf40569fe54bad76753ab783fe5263c20"/>
    <w:p>
      <w:pPr>
        <w:pStyle w:val="Heading3"/>
      </w:pPr>
      <w:r>
        <w:t xml:space="preserve">1. Experiences: can attendance inflect while per-capita spending stays healthy?</w:t>
      </w:r>
    </w:p>
    <w:p>
      <w:pPr>
        <w:pStyle w:val="FirstParagraph"/>
      </w:pPr>
      <w:r>
        <w:t xml:space="preserve">Experiences remains Disney’s largest earnings contributor and its most important near-term swing factor. In Q2, segment revenue rose</w:t>
      </w:r>
      <w:r>
        <w:t xml:space="preserve"> </w:t>
      </w:r>
      <w:r>
        <w:rPr>
          <w:b/>
          <w:bCs/>
        </w:rPr>
        <w:t xml:space="preserve">7%</w:t>
      </w:r>
      <w:r>
        <w:t xml:space="preserve"> </w:t>
      </w:r>
      <w:r>
        <w:t xml:space="preserve">and operating income grew</w:t>
      </w:r>
      <w:r>
        <w:t xml:space="preserve"> </w:t>
      </w:r>
      <w:r>
        <w:rPr>
          <w:b/>
          <w:bCs/>
        </w:rPr>
        <w:t xml:space="preserve">5%</w:t>
      </w:r>
      <w:r>
        <w:t xml:space="preserve"> </w:t>
      </w:r>
      <w:r>
        <w:t xml:space="preserve">to</w:t>
      </w:r>
      <w:r>
        <w:t xml:space="preserve"> </w:t>
      </w:r>
      <w:r>
        <w:rPr>
          <w:b/>
          <w:bCs/>
        </w:rPr>
        <w:t xml:space="preserve">$2.615 billion</w:t>
      </w:r>
      <w:r>
        <w:t xml:space="preserve">, despite a</w:t>
      </w:r>
      <w:r>
        <w:t xml:space="preserve"> </w:t>
      </w:r>
      <w:r>
        <w:rPr>
          <w:b/>
          <w:bCs/>
        </w:rPr>
        <w:t xml:space="preserve">1% decline in domestic park attendance</w:t>
      </w:r>
      <w:r>
        <w:t xml:space="preserve">, pre-opening costs for the Disney Adventure and World of Frozen, and softer international visitation to U.S. parks.</w:t>
      </w:r>
    </w:p>
    <w:p>
      <w:pPr>
        <w:pStyle w:val="BodyText"/>
      </w:pPr>
      <w:r>
        <w:t xml:space="preserve">Management’s Q2 message was notably constructive:</w:t>
      </w:r>
    </w:p>
    <w:p>
      <w:pPr>
        <w:pStyle w:val="Compact"/>
        <w:numPr>
          <w:ilvl w:val="0"/>
          <w:numId w:val="1002"/>
        </w:numPr>
      </w:pPr>
      <w:r>
        <w:t xml:space="preserve">Domestic attendance should improve in Q3 relative to Q2’s decline.</w:t>
      </w:r>
    </w:p>
    <w:p>
      <w:pPr>
        <w:pStyle w:val="Compact"/>
        <w:numPr>
          <w:ilvl w:val="0"/>
          <w:numId w:val="1002"/>
        </w:numPr>
      </w:pPr>
      <w:r>
        <w:t xml:space="preserve">Disney World bookings were said to be pacing strongly.</w:t>
      </w:r>
    </w:p>
    <w:p>
      <w:pPr>
        <w:pStyle w:val="Compact"/>
        <w:numPr>
          <w:ilvl w:val="0"/>
          <w:numId w:val="1002"/>
        </w:numPr>
      </w:pPr>
      <w:r>
        <w:t xml:space="preserve">Cruise booked occupancy remained in line with the prior year despite a</w:t>
      </w:r>
      <w:r>
        <w:t xml:space="preserve"> </w:t>
      </w:r>
      <w:r>
        <w:rPr>
          <w:b/>
          <w:bCs/>
        </w:rPr>
        <w:t xml:space="preserve">40% increase in cruise capacity</w:t>
      </w:r>
      <w:r>
        <w:t xml:space="preserve">.</w:t>
      </w:r>
    </w:p>
    <w:p>
      <w:pPr>
        <w:pStyle w:val="Compact"/>
        <w:numPr>
          <w:ilvl w:val="0"/>
          <w:numId w:val="1002"/>
        </w:numPr>
      </w:pPr>
      <w:r>
        <w:t xml:space="preserve">Q2 domestic park per-capita spending rose</w:t>
      </w:r>
      <w:r>
        <w:t xml:space="preserve"> </w:t>
      </w:r>
      <w:r>
        <w:rPr>
          <w:b/>
          <w:bCs/>
        </w:rPr>
        <w:t xml:space="preserve">5%</w:t>
      </w:r>
      <w:r>
        <w:t xml:space="preserve">.</w:t>
      </w:r>
    </w:p>
    <w:p>
      <w:pPr>
        <w:pStyle w:val="Compact"/>
        <w:numPr>
          <w:ilvl w:val="0"/>
          <w:numId w:val="1002"/>
        </w:numPr>
      </w:pPr>
      <w:r>
        <w:t xml:space="preserve">The company should begin to lap both international-visitation and competitive headwinds.</w:t>
      </w:r>
    </w:p>
    <w:p>
      <w:pPr>
        <w:pStyle w:val="FirstParagraph"/>
      </w:pPr>
      <w:r>
        <w:rPr>
          <w:b/>
          <w:bCs/>
        </w:rPr>
        <w:t xml:space="preserve">Why Q3 is consequential:</w:t>
      </w:r>
      <w:r>
        <w:t xml:space="preserve"> </w:t>
      </w:r>
      <w:r>
        <w:t xml:space="preserve">fiscal Q3 2025 Experiences operating income was already strong at</w:t>
      </w:r>
      <w:r>
        <w:t xml:space="preserve"> </w:t>
      </w:r>
      <m:oMath>
        <m:r>
          <m:t>2.516</m:t>
        </m:r>
        <m:r>
          <m:t>b</m:t>
        </m:r>
        <m:r>
          <m:t>i</m:t>
        </m:r>
        <m:r>
          <m:t>l</m:t>
        </m:r>
        <m:r>
          <m:t>l</m:t>
        </m:r>
        <m:r>
          <m:t>i</m:t>
        </m:r>
        <m:r>
          <m:t>o</m:t>
        </m:r>
        <m:r>
          <m:t>n</m:t>
        </m:r>
        <m:r>
          <m:rPr>
            <m:sty m:val="p"/>
          </m:rPr>
          <m:t>*</m:t>
        </m:r>
        <m:r>
          <m:rPr>
            <m:sty m:val="p"/>
          </m:rPr>
          <m:t>*</m:t>
        </m:r>
        <m:r>
          <m:rPr>
            <m:sty m:val="p"/>
          </m:rPr>
          <m:t>,</m:t>
        </m:r>
        <m:r>
          <m:t>u</m:t>
        </m:r>
        <m:r>
          <m:t>p</m:t>
        </m:r>
        <m:r>
          <m:t>13</m:t>
        </m:r>
      </m:oMath>
      <w:r>
        <w:rPr>
          <w:b/>
          <w:bCs/>
        </w:rPr>
        <w:t xml:space="preserve">40 million Easter-timing benefit</w:t>
      </w:r>
      <w:r>
        <w:t xml:space="preserve"> </w:t>
      </w:r>
      <w:r>
        <w:t xml:space="preserve">and a</w:t>
      </w:r>
      <w:r>
        <w:t xml:space="preserve"> </w:t>
      </w:r>
      <w:r>
        <w:rPr>
          <w:b/>
          <w:bCs/>
        </w:rPr>
        <w:t xml:space="preserve">$30 million cruise pre-opening cost</w:t>
      </w:r>
      <w:r>
        <w:t xml:space="preserve">. This creates a relatively demanding comparison, but the reduction in pre-opening costs and the new cruise capacity can help.</w:t>
      </w:r>
    </w:p>
    <w:p>
      <w:pPr>
        <w:pStyle w:val="BodyText"/>
      </w:pPr>
      <w:r>
        <w:rPr>
          <w:b/>
          <w:bCs/>
        </w:rPr>
        <w:t xml:space="preserve">Watch for</w:t>
      </w:r>
    </w:p>
    <w:p>
      <w:pPr>
        <w:pStyle w:val="Compact"/>
        <w:numPr>
          <w:ilvl w:val="0"/>
          <w:numId w:val="1003"/>
        </w:numPr>
      </w:pPr>
      <w:r>
        <w:t xml:space="preserve">Domestic attendance versus the prior year.</w:t>
      </w:r>
    </w:p>
    <w:p>
      <w:pPr>
        <w:pStyle w:val="Compact"/>
        <w:numPr>
          <w:ilvl w:val="0"/>
          <w:numId w:val="1003"/>
        </w:numPr>
      </w:pPr>
      <w:r>
        <w:t xml:space="preserve">Per-capita guest spending and hotel occupancy/pricing.</w:t>
      </w:r>
    </w:p>
    <w:p>
      <w:pPr>
        <w:pStyle w:val="Compact"/>
        <w:numPr>
          <w:ilvl w:val="0"/>
          <w:numId w:val="1003"/>
        </w:numPr>
      </w:pPr>
      <w:r>
        <w:t xml:space="preserve">Disney Cruise Line capacity, occupancy, and margin progression.</w:t>
      </w:r>
    </w:p>
    <w:p>
      <w:pPr>
        <w:pStyle w:val="Compact"/>
        <w:numPr>
          <w:ilvl w:val="0"/>
          <w:numId w:val="1003"/>
        </w:numPr>
      </w:pPr>
      <w:r>
        <w:t xml:space="preserve">Commentary on international visitation and consumer behavior amid macro uncertainty.</w:t>
      </w:r>
    </w:p>
    <w:p>
      <w:pPr>
        <w:pStyle w:val="Compact"/>
        <w:numPr>
          <w:ilvl w:val="0"/>
          <w:numId w:val="1003"/>
        </w:numPr>
      </w:pPr>
      <w:r>
        <w:t xml:space="preserve">Any revision to Experiences growth or capital-spending expectations.</w:t>
      </w:r>
    </w:p>
    <w:p>
      <w:pPr>
        <w:pStyle w:val="FirstParagraph"/>
      </w:pPr>
      <w:r>
        <w:rPr>
          <w:b/>
          <w:bCs/>
        </w:rPr>
        <w:t xml:space="preserve">Investor read-through:</w:t>
      </w:r>
      <w:r>
        <w:t xml:space="preserve"> </w:t>
      </w:r>
      <w:r>
        <w:t xml:space="preserve">A recovery in attendance with sustained spending would reinforce the argument that Disney can grow Experiences through both volume and yield. A demand slowdown—or commentary that bookings weakened late in the quarter—would likely outweigh otherwise solid streaming results.</w:t>
      </w:r>
    </w:p>
    <w:p>
      <w:r>
        <w:pict>
          <v:rect style="width:0;height:1.5pt" o:hralign="center" o:hrstd="t" o:hr="t"/>
        </w:pict>
      </w:r>
    </w:p>
    <w:bookmarkEnd w:id="11"/>
    <w:bookmarkStart w:id="12" w:name="Xcea72d699948e8b8387b05335651d6bdd1fc631"/>
    <w:p>
      <w:pPr>
        <w:pStyle w:val="Heading3"/>
      </w:pPr>
      <w:r>
        <w:t xml:space="preserve">2. Streaming: margin durability matters more than raw subscriber additions</w:t>
      </w:r>
    </w:p>
    <w:p>
      <w:pPr>
        <w:pStyle w:val="FirstParagraph"/>
      </w:pPr>
      <w:r>
        <w:t xml:space="preserve">Disney’s streaming operation has moved from a turnaround narrative to a proof-of-durability narrative. In Q2, Entertainment SVOD revenue grew</w:t>
      </w:r>
      <w:r>
        <w:t xml:space="preserve"> </w:t>
      </w:r>
      <w:r>
        <w:rPr>
          <w:b/>
          <w:bCs/>
        </w:rPr>
        <w:t xml:space="preserve">13%</w:t>
      </w:r>
      <w:r>
        <w:t xml:space="preserve"> </w:t>
      </w:r>
      <w:r>
        <w:t xml:space="preserve">year over year and SVOD operating income increased</w:t>
      </w:r>
      <w:r>
        <w:t xml:space="preserve"> </w:t>
      </w:r>
      <w:r>
        <w:rPr>
          <w:b/>
          <w:bCs/>
        </w:rPr>
        <w:t xml:space="preserve">88%</w:t>
      </w:r>
      <w:r>
        <w:t xml:space="preserve"> </w:t>
      </w:r>
      <w:r>
        <w:t xml:space="preserve">to</w:t>
      </w:r>
      <w:r>
        <w:t xml:space="preserve"> </w:t>
      </w:r>
      <w:r>
        <w:rPr>
          <w:b/>
          <w:bCs/>
        </w:rPr>
        <w:t xml:space="preserve">$582 million</w:t>
      </w:r>
      <w:r>
        <w:t xml:space="preserve">, producing a</w:t>
      </w:r>
      <w:r>
        <w:t xml:space="preserve"> </w:t>
      </w:r>
      <w:r>
        <w:rPr>
          <w:b/>
          <w:bCs/>
        </w:rPr>
        <w:t xml:space="preserve">10.6% operating margin</w:t>
      </w:r>
      <w:r>
        <w:t xml:space="preserve">—its first double-digit quarter.</w:t>
      </w:r>
    </w:p>
    <w:p>
      <w:pPr>
        <w:pStyle w:val="BodyText"/>
      </w:pPr>
      <w:r>
        <w:t xml:space="preserve">That result was supported by:</w:t>
      </w:r>
    </w:p>
    <w:p>
      <w:pPr>
        <w:pStyle w:val="Compact"/>
        <w:numPr>
          <w:ilvl w:val="0"/>
          <w:numId w:val="1004"/>
        </w:numPr>
      </w:pPr>
      <w:r>
        <w:t xml:space="preserve">Subscription revenue growth of</w:t>
      </w:r>
      <w:r>
        <w:t xml:space="preserve"> </w:t>
      </w:r>
      <w:r>
        <w:rPr>
          <w:b/>
          <w:bCs/>
        </w:rPr>
        <w:t xml:space="preserve">16%</w:t>
      </w:r>
      <w:r>
        <w:t xml:space="preserve">;</w:t>
      </w:r>
    </w:p>
    <w:p>
      <w:pPr>
        <w:pStyle w:val="Compact"/>
        <w:numPr>
          <w:ilvl w:val="0"/>
          <w:numId w:val="1004"/>
        </w:numPr>
      </w:pPr>
      <w:r>
        <w:t xml:space="preserve">Advertising revenue growth of</w:t>
      </w:r>
      <w:r>
        <w:t xml:space="preserve"> </w:t>
      </w:r>
      <w:r>
        <w:rPr>
          <w:b/>
          <w:bCs/>
        </w:rPr>
        <w:t xml:space="preserve">12%</w:t>
      </w:r>
      <w:r>
        <w:t xml:space="preserve">;</w:t>
      </w:r>
    </w:p>
    <w:p>
      <w:pPr>
        <w:pStyle w:val="Compact"/>
        <w:numPr>
          <w:ilvl w:val="0"/>
          <w:numId w:val="1004"/>
        </w:numPr>
      </w:pPr>
      <w:r>
        <w:t xml:space="preserve">Price/rate realization;</w:t>
      </w:r>
    </w:p>
    <w:p>
      <w:pPr>
        <w:pStyle w:val="Compact"/>
        <w:numPr>
          <w:ilvl w:val="0"/>
          <w:numId w:val="1004"/>
        </w:numPr>
      </w:pPr>
      <w:r>
        <w:t xml:space="preserve">Subscriber and wholesale growth;</w:t>
      </w:r>
    </w:p>
    <w:p>
      <w:pPr>
        <w:pStyle w:val="Compact"/>
        <w:numPr>
          <w:ilvl w:val="0"/>
          <w:numId w:val="1004"/>
        </w:numPr>
      </w:pPr>
      <w:r>
        <w:t xml:space="preserve">Product and retention initiatives across Disney+ and Hulu.</w:t>
      </w:r>
    </w:p>
    <w:p>
      <w:pPr>
        <w:pStyle w:val="FirstParagraph"/>
      </w:pPr>
      <w:r>
        <w:t xml:space="preserve">Management has emphasized that the next leg of value creation is engagement and churn reduction—not simply price increases. The strategic framework under CEO Josh D’Amaro puts Disney+ at the center of a more connected Disney ecosystem spanning Hulu, ESPN, parks, merchandise, and games.</w:t>
      </w:r>
    </w:p>
    <w:p>
      <w:pPr>
        <w:pStyle w:val="BodyText"/>
      </w:pPr>
      <w:r>
        <w:rPr>
          <w:b/>
          <w:bCs/>
        </w:rPr>
        <w:t xml:space="preserve">Watch for</w:t>
      </w:r>
    </w:p>
    <w:p>
      <w:pPr>
        <w:pStyle w:val="Compact"/>
        <w:numPr>
          <w:ilvl w:val="0"/>
          <w:numId w:val="1005"/>
        </w:numPr>
      </w:pPr>
      <w:r>
        <w:t xml:space="preserve">SVOD revenue growth and operating margin relative to Q2’s 13% and 10.6%, respectively.</w:t>
      </w:r>
    </w:p>
    <w:p>
      <w:pPr>
        <w:pStyle w:val="Compact"/>
        <w:numPr>
          <w:ilvl w:val="0"/>
          <w:numId w:val="1005"/>
        </w:numPr>
      </w:pPr>
      <w:r>
        <w:t xml:space="preserve">Advertising trends, especially pricing versus impressions.</w:t>
      </w:r>
    </w:p>
    <w:p>
      <w:pPr>
        <w:pStyle w:val="Compact"/>
        <w:numPr>
          <w:ilvl w:val="0"/>
          <w:numId w:val="1005"/>
        </w:numPr>
      </w:pPr>
      <w:r>
        <w:t xml:space="preserve">Evidence that Disney+/Hulu integration is improving retention.</w:t>
      </w:r>
    </w:p>
    <w:p>
      <w:pPr>
        <w:pStyle w:val="Compact"/>
        <w:numPr>
          <w:ilvl w:val="0"/>
          <w:numId w:val="1005"/>
        </w:numPr>
      </w:pPr>
      <w:r>
        <w:t xml:space="preserve">Management’s willingness to sustain content, technology, and marketing investments while protecting the FY26 margin target.</w:t>
      </w:r>
    </w:p>
    <w:p>
      <w:pPr>
        <w:pStyle w:val="Compact"/>
        <w:numPr>
          <w:ilvl w:val="0"/>
          <w:numId w:val="1005"/>
        </w:numPr>
      </w:pPr>
      <w:r>
        <w:t xml:space="preserve">Any disclosure on engagement, churn, international growth, or wholesale contribution.</w:t>
      </w:r>
    </w:p>
    <w:p>
      <w:pPr>
        <w:pStyle w:val="FirstParagraph"/>
      </w:pPr>
      <w:r>
        <w:rPr>
          <w:b/>
          <w:bCs/>
        </w:rPr>
        <w:t xml:space="preserve">Content is a mixed but generally supportive factor.</w:t>
      </w:r>
      <w:r>
        <w:t xml:space="preserve"> </w:t>
      </w:r>
      <w:r>
        <w:t xml:space="preserve">The fiscal Q3 window included major releases such as</w:t>
      </w:r>
      <w:r>
        <w:t xml:space="preserve"> </w:t>
      </w:r>
      <w:r>
        <w:rPr>
          <w:i/>
          <w:iCs/>
        </w:rPr>
        <w:t xml:space="preserve">The Mandalorian &amp; Grogu</w:t>
      </w:r>
      <w:r>
        <w:t xml:space="preserve"> </w:t>
      </w:r>
      <w:r>
        <w:t xml:space="preserve">and</w:t>
      </w:r>
      <w:r>
        <w:t xml:space="preserve"> </w:t>
      </w:r>
      <w:r>
        <w:rPr>
          <w:i/>
          <w:iCs/>
        </w:rPr>
        <w:t xml:space="preserve">Toy Story 5</w:t>
      </w:r>
      <w:r>
        <w:t xml:space="preserve">, while the live-action</w:t>
      </w:r>
      <w:r>
        <w:t xml:space="preserve"> </w:t>
      </w:r>
      <w:r>
        <w:rPr>
          <w:i/>
          <w:iCs/>
        </w:rPr>
        <w:t xml:space="preserve">Moana</w:t>
      </w:r>
      <w:r>
        <w:t xml:space="preserve"> </w:t>
      </w:r>
      <w:r>
        <w:t xml:space="preserve">release falls into fiscal Q4. Strong franchise performance can support theatrical economics, streaming engagement, consumer products, and Experiences over time—but investors should distinguish quarter-specific profit contribution from longer-tail franchise value.</w:t>
      </w:r>
    </w:p>
    <w:p>
      <w:pPr>
        <w:pStyle w:val="BodyText"/>
      </w:pPr>
      <w:r>
        <w:rPr>
          <w:b/>
          <w:bCs/>
        </w:rPr>
        <w:t xml:space="preserve">Investor read-through:</w:t>
      </w:r>
      <w:r>
        <w:t xml:space="preserve"> </w:t>
      </w:r>
      <w:r>
        <w:t xml:space="preserve">A streaming beat without margin deterioration would be highly constructive. Conversely, strong subscriptions purchased through materially higher content or marketing costs could revive concerns that profitability has plateaued.</w:t>
      </w:r>
    </w:p>
    <w:p>
      <w:r>
        <w:pict>
          <v:rect style="width:0;height:1.5pt" o:hralign="center" o:hrstd="t" o:hr="t"/>
        </w:pict>
      </w:r>
    </w:p>
    <w:bookmarkEnd w:id="12"/>
    <w:bookmarkStart w:id="13" w:name="X9f3cf96eb6c55c3781c745bb56f237bec43837d"/>
    <w:p>
      <w:pPr>
        <w:pStyle w:val="Heading3"/>
      </w:pPr>
      <w:r>
        <w:t xml:space="preserve">3. Sports: Q3 is deliberately the difficult quarter</w:t>
      </w:r>
    </w:p>
    <w:p>
      <w:pPr>
        <w:pStyle w:val="FirstParagraph"/>
      </w:pPr>
      <w:r>
        <w:t xml:space="preserve">Sports is the clearest known headwind. Disney guided for</w:t>
      </w:r>
      <w:r>
        <w:t xml:space="preserve"> </w:t>
      </w:r>
      <w:r>
        <w:rPr>
          <w:b/>
          <w:bCs/>
        </w:rPr>
        <w:t xml:space="preserve">approximately a 14% year-over-year decline in Q3 Sports operating income</w:t>
      </w:r>
      <w:r>
        <w:t xml:space="preserve">, driven by a double-digit increase in programming expense, including the timing of new rights agreements.</w:t>
      </w:r>
    </w:p>
    <w:p>
      <w:pPr>
        <w:pStyle w:val="BodyText"/>
      </w:pPr>
      <w:r>
        <w:t xml:space="preserve">This matters because fiscal Q3 2025 Sports operating income was a strong</w:t>
      </w:r>
      <w:r>
        <w:t xml:space="preserve"> </w:t>
      </w:r>
      <w:r>
        <w:rPr>
          <w:b/>
          <w:bCs/>
        </w:rPr>
        <w:t xml:space="preserve">$1.037 billion</w:t>
      </w:r>
      <w:r>
        <w:t xml:space="preserve">, although the comparison benefited from the absence of prior-year Star India losses. More importantly, domestic ESPN operating income declined</w:t>
      </w:r>
      <w:r>
        <w:t xml:space="preserve"> </w:t>
      </w:r>
      <w:r>
        <w:rPr>
          <w:b/>
          <w:bCs/>
        </w:rPr>
        <w:t xml:space="preserve">7%</w:t>
      </w:r>
      <w:r>
        <w:t xml:space="preserve"> </w:t>
      </w:r>
      <w:r>
        <w:t xml:space="preserve">in that prior-year quarter because of higher NBA and college-sports rights costs. The structural question remains whether ESPN’s direct-to-consumer model can monetize live sports sufficiently to offset linear subscriber losses and escalating rights expense.</w:t>
      </w:r>
    </w:p>
    <w:p>
      <w:pPr>
        <w:pStyle w:val="BodyText"/>
      </w:pPr>
      <w:r>
        <w:t xml:space="preserve">Positives heading into the print include:</w:t>
      </w:r>
    </w:p>
    <w:p>
      <w:pPr>
        <w:pStyle w:val="Compact"/>
        <w:numPr>
          <w:ilvl w:val="0"/>
          <w:numId w:val="1006"/>
        </w:numPr>
      </w:pPr>
      <w:r>
        <w:t xml:space="preserve">The January NFL Network/RedZone/Fantasy transaction.</w:t>
      </w:r>
    </w:p>
    <w:p>
      <w:pPr>
        <w:pStyle w:val="Compact"/>
        <w:numPr>
          <w:ilvl w:val="0"/>
          <w:numId w:val="1006"/>
        </w:numPr>
      </w:pPr>
      <w:r>
        <w:t xml:space="preserve">Growing ESPN direct-to-consumer monetization.</w:t>
      </w:r>
    </w:p>
    <w:p>
      <w:pPr>
        <w:pStyle w:val="Compact"/>
        <w:numPr>
          <w:ilvl w:val="0"/>
          <w:numId w:val="1006"/>
        </w:numPr>
      </w:pPr>
      <w:r>
        <w:t xml:space="preserve">Management’s expectation for</w:t>
      </w:r>
      <w:r>
        <w:t xml:space="preserve"> </w:t>
      </w:r>
      <w:r>
        <w:rPr>
          <w:b/>
          <w:bCs/>
        </w:rPr>
        <w:t xml:space="preserve">mid-single-digit FY26 Sports operating-income growth</w:t>
      </w:r>
      <w:r>
        <w:t xml:space="preserve">, including the NFL transaction.</w:t>
      </w:r>
    </w:p>
    <w:p>
      <w:pPr>
        <w:pStyle w:val="Compact"/>
        <w:numPr>
          <w:ilvl w:val="0"/>
          <w:numId w:val="1006"/>
        </w:numPr>
      </w:pPr>
      <w:r>
        <w:t xml:space="preserve">The strategic value of ESPN’s upcoming Super Bowl inventory in fiscal 2027.</w:t>
      </w:r>
    </w:p>
    <w:p>
      <w:pPr>
        <w:pStyle w:val="FirstParagraph"/>
      </w:pPr>
      <w:r>
        <w:t xml:space="preserve">Risks include:</w:t>
      </w:r>
    </w:p>
    <w:p>
      <w:pPr>
        <w:pStyle w:val="Compact"/>
        <w:numPr>
          <w:ilvl w:val="0"/>
          <w:numId w:val="1007"/>
        </w:numPr>
      </w:pPr>
      <w:r>
        <w:t xml:space="preserve">Rights-cost escalation.</w:t>
      </w:r>
    </w:p>
    <w:p>
      <w:pPr>
        <w:pStyle w:val="Compact"/>
        <w:numPr>
          <w:ilvl w:val="0"/>
          <w:numId w:val="1007"/>
        </w:numPr>
      </w:pPr>
      <w:r>
        <w:t xml:space="preserve">The pace of linear affiliate declines.</w:t>
      </w:r>
    </w:p>
    <w:p>
      <w:pPr>
        <w:pStyle w:val="Compact"/>
        <w:numPr>
          <w:ilvl w:val="0"/>
          <w:numId w:val="1007"/>
        </w:numPr>
      </w:pPr>
      <w:r>
        <w:t xml:space="preserve">Advertising variability.</w:t>
      </w:r>
    </w:p>
    <w:p>
      <w:pPr>
        <w:pStyle w:val="Compact"/>
        <w:numPr>
          <w:ilvl w:val="0"/>
          <w:numId w:val="1007"/>
        </w:numPr>
      </w:pPr>
      <w:r>
        <w:t xml:space="preserve">Whether the ESPN direct-to-consumer product is scaling profitably enough to validate the investment case.</w:t>
      </w:r>
    </w:p>
    <w:p>
      <w:pPr>
        <w:pStyle w:val="FirstParagraph"/>
      </w:pPr>
      <w:r>
        <w:rPr>
          <w:b/>
          <w:bCs/>
        </w:rPr>
        <w:t xml:space="preserve">Investor read-through:</w:t>
      </w:r>
      <w:r>
        <w:t xml:space="preserve"> </w:t>
      </w:r>
      <w:r>
        <w:t xml:space="preserve">The Q3 Sports decline itself should not surprise investors. The key is whether the result is contained within guidance and whether management maintains confidence in the full-year trajectory.</w:t>
      </w:r>
    </w:p>
    <w:p>
      <w:r>
        <w:pict>
          <v:rect style="width:0;height:1.5pt" o:hralign="center" o:hrstd="t" o:hr="t"/>
        </w:pict>
      </w:r>
    </w:p>
    <w:bookmarkEnd w:id="13"/>
    <w:bookmarkEnd w:id="14"/>
    <w:bookmarkStart w:id="15" w:name="X10f352e000cc0371536bc6ce9a48b3f26707931"/>
    <w:p>
      <w:pPr>
        <w:pStyle w:val="Heading2"/>
      </w:pPr>
      <w:r>
        <w:t xml:space="preserve">Earnings bridge: what needs to offset Sports</w:t>
      </w:r>
    </w:p>
    <w:p>
      <w:pPr>
        <w:pStyle w:val="FirstParagraph"/>
      </w:pPr>
      <w:r>
        <w:t xml:space="preserve">Disney’s Q3 guide implies approximately</w:t>
      </w:r>
      <w:r>
        <w:t xml:space="preserve"> </w:t>
      </w:r>
      <w:r>
        <w:rPr>
          <w:b/>
          <w:bCs/>
        </w:rPr>
        <w:t xml:space="preserve">$725 million</w:t>
      </w:r>
      <w:r>
        <w:t xml:space="preserve"> </w:t>
      </w:r>
      <w:r>
        <w:t xml:space="preserve">more total segment operating income than the prior-year period. Given the guided Sports decline, the heavy lifting must come from:</w:t>
      </w:r>
    </w:p>
    <w:p>
      <w:pPr>
        <w:pStyle w:val="Compact"/>
        <w:numPr>
          <w:ilvl w:val="0"/>
          <w:numId w:val="1008"/>
        </w:numPr>
      </w:pPr>
      <w:r>
        <w:rPr>
          <w:b/>
          <w:bCs/>
        </w:rPr>
        <w:t xml:space="preserve">Experiences growth</w:t>
      </w:r>
      <w:r>
        <w:t xml:space="preserve"> </w:t>
      </w:r>
      <w:r>
        <w:t xml:space="preserve">— attendance stabilization, per-capita spending, cruise capacity, and fewer pre-opening-cost drags;</w:t>
      </w:r>
    </w:p>
    <w:p>
      <w:pPr>
        <w:pStyle w:val="Compact"/>
        <w:numPr>
          <w:ilvl w:val="0"/>
          <w:numId w:val="1008"/>
        </w:numPr>
      </w:pPr>
      <w:r>
        <w:rPr>
          <w:b/>
          <w:bCs/>
        </w:rPr>
        <w:t xml:space="preserve">Entertainment/streaming growth</w:t>
      </w:r>
      <w:r>
        <w:t xml:space="preserve"> </w:t>
      </w:r>
      <w:r>
        <w:t xml:space="preserve">— subscription and ad monetization, improved SVOD margins, and favorable content performance; and</w:t>
      </w:r>
    </w:p>
    <w:p>
      <w:pPr>
        <w:pStyle w:val="Compact"/>
        <w:numPr>
          <w:ilvl w:val="0"/>
          <w:numId w:val="1008"/>
        </w:numPr>
      </w:pPr>
      <w:r>
        <w:rPr>
          <w:b/>
          <w:bCs/>
        </w:rPr>
        <w:t xml:space="preserve">Corporate efficiency and buybacks</w:t>
      </w:r>
      <w:r>
        <w:t xml:space="preserve"> </w:t>
      </w:r>
      <w:r>
        <w:t xml:space="preserve">— not necessarily the main operating-income driver, but important for adjusted-EPS delivery.</w:t>
      </w:r>
    </w:p>
    <w:p>
      <w:pPr>
        <w:pStyle w:val="FirstParagraph"/>
      </w:pPr>
      <w:r>
        <w:t xml:space="preserve">That makes a simple “earnings beat” insufficient. The quality of the beat matters: investors should prefer growth led by Experiences and sustainable streaming monetization, rather than one-time items, timing benefits, or unusually low expenses.</w:t>
      </w:r>
    </w:p>
    <w:p>
      <w:r>
        <w:pict>
          <v:rect style="width:0;height:1.5pt" o:hralign="center" o:hrstd="t" o:hr="t"/>
        </w:pict>
      </w:r>
    </w:p>
    <w:bookmarkEnd w:id="15"/>
    <w:bookmarkStart w:id="16" w:name="X9c3d45a1a6bc5512ae5f580f25bf90001a0a46a"/>
    <w:p>
      <w:pPr>
        <w:pStyle w:val="Heading2"/>
      </w:pPr>
      <w:r>
        <w:t xml:space="preserve">Capital allocation and cash flow: an underappreciated part of the call</w:t>
      </w:r>
    </w:p>
    <w:p>
      <w:pPr>
        <w:pStyle w:val="FirstParagraph"/>
      </w:pPr>
      <w:r>
        <w:t xml:space="preserve">Disney repurchased</w:t>
      </w:r>
      <w:r>
        <w:t xml:space="preserve"> </w:t>
      </w:r>
      <m:oMath>
        <m:r>
          <m:t>5.5</m:t>
        </m:r>
        <m:r>
          <m:t>b</m:t>
        </m:r>
        <m:r>
          <m:t>i</m:t>
        </m:r>
        <m:r>
          <m:t>l</m:t>
        </m:r>
        <m:r>
          <m:t>l</m:t>
        </m:r>
        <m:r>
          <m:t>i</m:t>
        </m:r>
        <m:r>
          <m:t>o</m:t>
        </m:r>
        <m:r>
          <m:t>n</m:t>
        </m:r>
        <m:r>
          <m:rPr>
            <m:sty m:val="p"/>
          </m:rPr>
          <m:t>*</m:t>
        </m:r>
        <m:r>
          <m:rPr>
            <m:sty m:val="p"/>
          </m:rPr>
          <m:t>*</m:t>
        </m:r>
        <m:r>
          <m:t>o</m:t>
        </m:r>
        <m:r>
          <m:t>f</m:t>
        </m:r>
        <m:r>
          <m:t>s</m:t>
        </m:r>
        <m:r>
          <m:t>t</m:t>
        </m:r>
        <m:r>
          <m:t>o</m:t>
        </m:r>
        <m:r>
          <m:t>c</m:t>
        </m:r>
        <m:r>
          <m:t>k</m:t>
        </m:r>
        <m:r>
          <m:t>i</m:t>
        </m:r>
        <m:r>
          <m:t>n</m:t>
        </m:r>
        <m:r>
          <m:t>t</m:t>
        </m:r>
        <m:r>
          <m:t>h</m:t>
        </m:r>
        <m:r>
          <m:t>e</m:t>
        </m:r>
        <m:r>
          <m:t>f</m:t>
        </m:r>
        <m:r>
          <m:t>i</m:t>
        </m:r>
        <m:r>
          <m:t>r</m:t>
        </m:r>
        <m:r>
          <m:t>s</m:t>
        </m:r>
        <m:r>
          <m:t>t</m:t>
        </m:r>
        <m:r>
          <m:t>s</m:t>
        </m:r>
        <m:r>
          <m:t>i</m:t>
        </m:r>
        <m:r>
          <m:t>x</m:t>
        </m:r>
        <m:r>
          <m:t>m</m:t>
        </m:r>
        <m:r>
          <m:t>o</m:t>
        </m:r>
        <m:r>
          <m:t>n</m:t>
        </m:r>
        <m:r>
          <m:t>t</m:t>
        </m:r>
        <m:r>
          <m:t>h</m:t>
        </m:r>
        <m:r>
          <m:t>s</m:t>
        </m:r>
        <m:r>
          <m:t>o</m:t>
        </m:r>
        <m:r>
          <m:t>f</m:t>
        </m:r>
        <m:r>
          <m:t>f</m:t>
        </m:r>
        <m:r>
          <m:t>i</m:t>
        </m:r>
        <m:r>
          <m:t>s</m:t>
        </m:r>
        <m:r>
          <m:t>c</m:t>
        </m:r>
        <m:r>
          <m:t>a</m:t>
        </m:r>
        <m:r>
          <m:t>l</m:t>
        </m:r>
        <m:r>
          <m:t>2026</m:t>
        </m:r>
        <m:r>
          <m:t>a</m:t>
        </m:r>
        <m:r>
          <m:t>n</m:t>
        </m:r>
        <m:r>
          <m:t>d</m:t>
        </m:r>
        <m:r>
          <m:t>i</m:t>
        </m:r>
        <m:r>
          <m:t>s</m:t>
        </m:r>
        <m:r>
          <m:t>t</m:t>
        </m:r>
        <m:r>
          <m:t>a</m:t>
        </m:r>
        <m:r>
          <m:t>r</m:t>
        </m:r>
        <m:r>
          <m:t>g</m:t>
        </m:r>
        <m:r>
          <m:t>e</m:t>
        </m:r>
        <m:r>
          <m:t>t</m:t>
        </m:r>
        <m:r>
          <m:t>i</m:t>
        </m:r>
        <m:r>
          <m:t>n</m:t>
        </m:r>
        <m:r>
          <m:t>g</m:t>
        </m:r>
        <m:r>
          <m:t>a</m:t>
        </m:r>
        <m:r>
          <m:t>t</m:t>
        </m:r>
        <m:r>
          <m:t>l</m:t>
        </m:r>
        <m:r>
          <m:t>e</m:t>
        </m:r>
        <m:r>
          <m:t>a</m:t>
        </m:r>
        <m:r>
          <m:t>s</m:t>
        </m:r>
        <m:r>
          <m:t>t</m:t>
        </m:r>
        <m:r>
          <m:rPr>
            <m:sty m:val="p"/>
          </m:rPr>
          <m:t>*</m:t>
        </m:r>
        <m:r>
          <m:rPr>
            <m:sty m:val="p"/>
          </m:rPr>
          <m:t>*</m:t>
        </m:r>
      </m:oMath>
      <w:r>
        <w:rPr>
          <w:b/>
          <w:bCs/>
        </w:rPr>
        <w:t xml:space="preserve">8 billion</w:t>
      </w:r>
      <w:r>
        <w:t xml:space="preserve"> </w:t>
      </w:r>
      <w:r>
        <w:t xml:space="preserve">for the full year. That provides meaningful support to adjusted EPS, but it also raises the importance of cash generation.</w:t>
      </w:r>
    </w:p>
    <w:p>
      <w:pPr>
        <w:pStyle w:val="BodyText"/>
      </w:pPr>
      <w:r>
        <w:t xml:space="preserve">At Q2, six-month free cash flow was only</w:t>
      </w:r>
      <w:r>
        <w:t xml:space="preserve"> </w:t>
      </w:r>
      <w:r>
        <w:rPr>
          <w:b/>
          <w:bCs/>
        </w:rPr>
        <w:t xml:space="preserve">$2.663 billion</w:t>
      </w:r>
      <w:r>
        <w:t xml:space="preserve">, down from $5.630 billion a year earlier, largely because of elevated tax payments and higher capital expenditures for cruise expansion and park attractions. The lower free-cash-flow figure was not necessarily an indication of weaker underlying operations, but Q3 should help determine whether cash conversion is recovering as tax timing normalizes.</w:t>
      </w:r>
    </w:p>
    <w:p>
      <w:pPr>
        <w:pStyle w:val="BodyText"/>
      </w:pPr>
      <w:r>
        <w:rPr>
          <w:b/>
          <w:bCs/>
        </w:rPr>
        <w:t xml:space="preserve">Watch for</w:t>
      </w:r>
    </w:p>
    <w:p>
      <w:pPr>
        <w:pStyle w:val="Compact"/>
        <w:numPr>
          <w:ilvl w:val="0"/>
          <w:numId w:val="1009"/>
        </w:numPr>
      </w:pPr>
      <w:r>
        <w:t xml:space="preserve">Year-to-date operating cash flow and free cash flow;</w:t>
      </w:r>
    </w:p>
    <w:p>
      <w:pPr>
        <w:pStyle w:val="Compact"/>
        <w:numPr>
          <w:ilvl w:val="0"/>
          <w:numId w:val="1009"/>
        </w:numPr>
      </w:pPr>
      <w:r>
        <w:t xml:space="preserve">Experiences capex, particularly cruise and park-expansion spend;</w:t>
      </w:r>
    </w:p>
    <w:p>
      <w:pPr>
        <w:pStyle w:val="Compact"/>
        <w:numPr>
          <w:ilvl w:val="0"/>
          <w:numId w:val="1009"/>
        </w:numPr>
      </w:pPr>
      <w:r>
        <w:t xml:space="preserve">Progress toward the $8 billion repurchase target;</w:t>
      </w:r>
    </w:p>
    <w:p>
      <w:pPr>
        <w:pStyle w:val="Compact"/>
        <w:numPr>
          <w:ilvl w:val="0"/>
          <w:numId w:val="1009"/>
        </w:numPr>
      </w:pPr>
      <w:r>
        <w:t xml:space="preserve">Debt and liquidity commentary;</w:t>
      </w:r>
    </w:p>
    <w:p>
      <w:pPr>
        <w:pStyle w:val="Compact"/>
        <w:numPr>
          <w:ilvl w:val="0"/>
          <w:numId w:val="1009"/>
        </w:numPr>
      </w:pPr>
      <w:r>
        <w:t xml:space="preserve">Any update to the pace or return profile of the long-term Experiences investment program.</w:t>
      </w:r>
    </w:p>
    <w:p>
      <w:r>
        <w:pict>
          <v:rect style="width:0;height:1.5pt" o:hralign="center" o:hrstd="t" o:hr="t"/>
        </w:pict>
      </w:r>
    </w:p>
    <w:bookmarkEnd w:id="16"/>
    <w:bookmarkStart w:id="17" w:name="risks-that-could-dominate-the-discussion"/>
    <w:p>
      <w:pPr>
        <w:pStyle w:val="Heading2"/>
      </w:pPr>
      <w:r>
        <w:t xml:space="preserve">Risks that could dominate the discussion</w:t>
      </w:r>
    </w:p>
    <w:p>
      <w:pPr>
        <w:pStyle w:val="Compact"/>
        <w:numPr>
          <w:ilvl w:val="0"/>
          <w:numId w:val="1010"/>
        </w:numPr>
      </w:pPr>
      <w:r>
        <w:rPr>
          <w:b/>
          <w:bCs/>
        </w:rPr>
        <w:t xml:space="preserve">Consumer/macro sensitivity:</w:t>
      </w:r>
      <w:r>
        <w:t xml:space="preserve"> </w:t>
      </w:r>
      <w:r>
        <w:t xml:space="preserve">Disney has said that current park demand is healthy but acknowledged macro uncertainty and fuel-price risk.</w:t>
      </w:r>
    </w:p>
    <w:p>
      <w:pPr>
        <w:pStyle w:val="Compact"/>
        <w:numPr>
          <w:ilvl w:val="0"/>
          <w:numId w:val="1010"/>
        </w:numPr>
      </w:pPr>
      <w:r>
        <w:rPr>
          <w:b/>
          <w:bCs/>
        </w:rPr>
        <w:t xml:space="preserve">Linear-TV decline:</w:t>
      </w:r>
      <w:r>
        <w:t xml:space="preserve"> </w:t>
      </w:r>
      <w:r>
        <w:t xml:space="preserve">The company is managing a transition, not eliminating exposure. Entertainment linear revenue and affiliate pressure remain an overhang.</w:t>
      </w:r>
    </w:p>
    <w:p>
      <w:pPr>
        <w:pStyle w:val="Compact"/>
        <w:numPr>
          <w:ilvl w:val="0"/>
          <w:numId w:val="1010"/>
        </w:numPr>
      </w:pPr>
      <w:r>
        <w:rPr>
          <w:b/>
          <w:bCs/>
        </w:rPr>
        <w:t xml:space="preserve">Sports-rights economics:</w:t>
      </w:r>
      <w:r>
        <w:t xml:space="preserve"> </w:t>
      </w:r>
      <w:r>
        <w:t xml:space="preserve">ESPN’s strategic relevance is clear, but the earnings model must prove resilient as rights costs rise.</w:t>
      </w:r>
    </w:p>
    <w:p>
      <w:pPr>
        <w:pStyle w:val="Compact"/>
        <w:numPr>
          <w:ilvl w:val="0"/>
          <w:numId w:val="1010"/>
        </w:numPr>
      </w:pPr>
      <w:r>
        <w:rPr>
          <w:b/>
          <w:bCs/>
        </w:rPr>
        <w:t xml:space="preserve">Creative consistency:</w:t>
      </w:r>
      <w:r>
        <w:t xml:space="preserve"> </w:t>
      </w:r>
      <w:r>
        <w:t xml:space="preserve">Franchise execution is powerful when it works, but investor fatigue around sequels and remakes makes the hit rate of new and established IP important.</w:t>
      </w:r>
    </w:p>
    <w:p>
      <w:pPr>
        <w:pStyle w:val="Compact"/>
        <w:numPr>
          <w:ilvl w:val="0"/>
          <w:numId w:val="1010"/>
        </w:numPr>
      </w:pPr>
      <w:r>
        <w:rPr>
          <w:b/>
          <w:bCs/>
        </w:rPr>
        <w:t xml:space="preserve">Regulatory overhang:</w:t>
      </w:r>
      <w:r>
        <w:t xml:space="preserve"> </w:t>
      </w:r>
      <w:r>
        <w:t xml:space="preserve">Disney and ABC are contesting an FCC early review of eight owned-and-operated ABC station licenses. This does not appear to be the core earnings driver, but it is a headline and governance risk worth monitoring.</w:t>
      </w:r>
    </w:p>
    <w:p>
      <w:pPr>
        <w:pStyle w:val="Compact"/>
        <w:numPr>
          <w:ilvl w:val="0"/>
          <w:numId w:val="1010"/>
        </w:numPr>
      </w:pPr>
      <w:r>
        <w:rPr>
          <w:b/>
          <w:bCs/>
        </w:rPr>
        <w:t xml:space="preserve">Execution under new leadership:</w:t>
      </w:r>
      <w:r>
        <w:t xml:space="preserve"> </w:t>
      </w:r>
      <w:r>
        <w:t xml:space="preserve">This is still early in Josh D’Amaro’s tenure as CEO. Investors will listen closely for evidence that the “One Disney” strategy—linking content, streaming, sports, games, products, and Experiences—is becoming operational rather than aspirational.</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The most constructive outcome is straightforward:</w:t>
      </w:r>
    </w:p>
    <w:p>
      <w:pPr>
        <w:pStyle w:val="Compact"/>
        <w:numPr>
          <w:ilvl w:val="0"/>
          <w:numId w:val="1011"/>
        </w:numPr>
      </w:pPr>
      <w:r>
        <w:rPr>
          <w:b/>
          <w:bCs/>
        </w:rPr>
        <w:t xml:space="preserve">Deliver or exceed the ~$5.3 billion Q3 total segment operating-income guide;</w:t>
      </w:r>
    </w:p>
    <w:p>
      <w:pPr>
        <w:pStyle w:val="Compact"/>
        <w:numPr>
          <w:ilvl w:val="0"/>
          <w:numId w:val="1011"/>
        </w:numPr>
      </w:pPr>
      <w:r>
        <w:rPr>
          <w:b/>
          <w:bCs/>
        </w:rPr>
        <w:t xml:space="preserve">Show a tangible domestic-attendance improvement while retaining healthy park pricing and spending;</w:t>
      </w:r>
    </w:p>
    <w:p>
      <w:pPr>
        <w:pStyle w:val="Compact"/>
        <w:numPr>
          <w:ilvl w:val="0"/>
          <w:numId w:val="1011"/>
        </w:numPr>
      </w:pPr>
      <w:r>
        <w:rPr>
          <w:b/>
          <w:bCs/>
        </w:rPr>
        <w:t xml:space="preserve">Maintain double-digit streaming-margin momentum;</w:t>
      </w:r>
    </w:p>
    <w:p>
      <w:pPr>
        <w:pStyle w:val="Compact"/>
        <w:numPr>
          <w:ilvl w:val="0"/>
          <w:numId w:val="1011"/>
        </w:numPr>
      </w:pPr>
      <w:r>
        <w:rPr>
          <w:b/>
          <w:bCs/>
        </w:rPr>
        <w:t xml:space="preserve">Keep the Sports decline within the guided range;</w:t>
      </w:r>
      <w:r>
        <w:t xml:space="preserve"> </w:t>
      </w:r>
      <w:r>
        <w:t xml:space="preserve">and</w:t>
      </w:r>
    </w:p>
    <w:p>
      <w:pPr>
        <w:pStyle w:val="Compact"/>
        <w:numPr>
          <w:ilvl w:val="0"/>
          <w:numId w:val="1011"/>
        </w:numPr>
      </w:pPr>
      <w:r>
        <w:rPr>
          <w:b/>
          <w:bCs/>
        </w:rPr>
        <w:t xml:space="preserve">Reaffirm FY26 adjusted-EPS growth, buyback, and FY27 double-digit growth targets.</w:t>
      </w:r>
    </w:p>
    <w:p>
      <w:pPr>
        <w:pStyle w:val="FirstParagraph"/>
      </w:pPr>
      <w:r>
        <w:t xml:space="preserve">A clean delivery would support the view that Disney has transitioned from cost restructuring to a more durable earnings-growth phase, led by Experiences and profitable streaming. The bear case will reassert itself if parks demand weakens, streaming investment accelerates faster than monetization, or Sports costs produce a larger-than-expected drag on the consolidated outlook.</w:t>
      </w:r>
    </w:p>
    <w:bookmarkEnd w:id="18"/>
    <w:bookmarkStart w:id="19" w:name="key-reference-points"/>
    <w:p>
      <w:pPr>
        <w:pStyle w:val="Heading2"/>
      </w:pPr>
      <w:r>
        <w:t xml:space="preserve">Key reference points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Fiscal Q3 2025 actual</w:t>
            </w:r>
          </w:p>
        </w:tc>
        <w:tc>
          <w:tcPr/>
          <w:p>
            <w:pPr>
              <w:pStyle w:val="Compact"/>
            </w:pPr>
            <w:r>
              <w:t xml:space="preserve">Fiscal Q3 2026 setup</w:t>
            </w:r>
          </w:p>
        </w:tc>
      </w:tr>
      <w:tr>
        <w:tc>
          <w:tcPr/>
          <w:p>
            <w:pPr>
              <w:pStyle w:val="Compact"/>
            </w:pPr>
            <w:r>
              <w:t xml:space="preserve">Revenue</w:t>
            </w:r>
          </w:p>
        </w:tc>
        <w:tc>
          <w:tcPr/>
          <w:p>
            <w:pPr>
              <w:pStyle w:val="Compact"/>
              <w:jc w:val="right"/>
            </w:pPr>
            <w:r>
              <w:t xml:space="preserve">$23.65B</w:t>
            </w:r>
          </w:p>
        </w:tc>
        <w:tc>
          <w:tcPr/>
          <w:p>
            <w:pPr>
              <w:pStyle w:val="Compact"/>
            </w:pPr>
            <w:r>
              <w:t xml:space="preserve">Focus on growth quality and segment mix</w:t>
            </w:r>
          </w:p>
        </w:tc>
      </w:tr>
      <w:tr>
        <w:tc>
          <w:tcPr/>
          <w:p>
            <w:pPr>
              <w:pStyle w:val="Compact"/>
            </w:pPr>
            <w:r>
              <w:t xml:space="preserve">Total segment operating income</w:t>
            </w:r>
          </w:p>
        </w:tc>
        <w:tc>
          <w:tcPr/>
          <w:p>
            <w:pPr>
              <w:pStyle w:val="Compact"/>
              <w:jc w:val="right"/>
            </w:pPr>
            <w:r>
              <w:t xml:space="preserve">$4.575B</w:t>
            </w:r>
          </w:p>
        </w:tc>
        <w:tc>
          <w:tcPr/>
          <w:p>
            <w:pPr>
              <w:pStyle w:val="Compact"/>
            </w:pPr>
            <w:r>
              <w:t xml:space="preserve">Management guide:</w:t>
            </w:r>
            <w:r>
              <w:t xml:space="preserve"> </w:t>
            </w:r>
            <w:r>
              <w:rPr>
                <w:b/>
                <w:bCs/>
              </w:rPr>
              <w:t xml:space="preserve">~$5.3B</w:t>
            </w:r>
          </w:p>
        </w:tc>
      </w:tr>
      <w:tr>
        <w:tc>
          <w:tcPr/>
          <w:p>
            <w:pPr>
              <w:pStyle w:val="Compact"/>
            </w:pPr>
            <w:r>
              <w:t xml:space="preserve">Adjusted EPS</w:t>
            </w:r>
          </w:p>
        </w:tc>
        <w:tc>
          <w:tcPr/>
          <w:p>
            <w:pPr>
              <w:pStyle w:val="Compact"/>
              <w:jc w:val="right"/>
            </w:pPr>
            <w:r>
              <w:t xml:space="preserve">$1.61</w:t>
            </w:r>
          </w:p>
        </w:tc>
        <w:tc>
          <w:tcPr/>
          <w:p>
            <w:pPr>
              <w:pStyle w:val="Compact"/>
            </w:pPr>
            <w:r>
              <w:t xml:space="preserve">FY26 growth guide remains ~12%, ex-53rd week</w:t>
            </w:r>
          </w:p>
        </w:tc>
      </w:tr>
      <w:tr>
        <w:tc>
          <w:tcPr/>
          <w:p>
            <w:pPr>
              <w:pStyle w:val="Compact"/>
            </w:pPr>
            <w:r>
              <w:t xml:space="preserve">Entertainment operating income</w:t>
            </w:r>
          </w:p>
        </w:tc>
        <w:tc>
          <w:tcPr/>
          <w:p>
            <w:pPr>
              <w:pStyle w:val="Compact"/>
              <w:jc w:val="right"/>
            </w:pPr>
            <w:r>
              <w:t xml:space="preserve">$1.022B</w:t>
            </w:r>
          </w:p>
        </w:tc>
        <w:tc>
          <w:tcPr/>
          <w:p>
            <w:pPr>
              <w:pStyle w:val="Compact"/>
            </w:pPr>
            <w:r>
              <w:t xml:space="preserve">Streaming margin and theatrical/content contribution key</w:t>
            </w:r>
          </w:p>
        </w:tc>
      </w:tr>
      <w:tr>
        <w:tc>
          <w:tcPr/>
          <w:p>
            <w:pPr>
              <w:pStyle w:val="Compact"/>
            </w:pPr>
            <w:r>
              <w:t xml:space="preserve">Sports operating income</w:t>
            </w:r>
          </w:p>
        </w:tc>
        <w:tc>
          <w:tcPr/>
          <w:p>
            <w:pPr>
              <w:pStyle w:val="Compact"/>
              <w:jc w:val="right"/>
            </w:pPr>
            <w:r>
              <w:t xml:space="preserve">$1.037B</w:t>
            </w:r>
          </w:p>
        </w:tc>
        <w:tc>
          <w:tcPr/>
          <w:p>
            <w:pPr>
              <w:pStyle w:val="Compact"/>
            </w:pPr>
            <w:r>
              <w:t xml:space="preserve">Management expects</w:t>
            </w:r>
            <w:r>
              <w:t xml:space="preserve"> </w:t>
            </w:r>
            <w:r>
              <w:rPr>
                <w:b/>
                <w:bCs/>
              </w:rPr>
              <w:t xml:space="preserve">~14% decline YoY</w:t>
            </w:r>
          </w:p>
        </w:tc>
      </w:tr>
      <w:tr>
        <w:tc>
          <w:tcPr/>
          <w:p>
            <w:pPr>
              <w:pStyle w:val="Compact"/>
            </w:pPr>
            <w:r>
              <w:t xml:space="preserve">Experiences operating income</w:t>
            </w:r>
          </w:p>
        </w:tc>
        <w:tc>
          <w:tcPr/>
          <w:p>
            <w:pPr>
              <w:pStyle w:val="Compact"/>
              <w:jc w:val="right"/>
            </w:pPr>
            <w:r>
              <w:t xml:space="preserve">$2.516B</w:t>
            </w:r>
          </w:p>
        </w:tc>
        <w:tc>
          <w:tcPr/>
          <w:p>
            <w:pPr>
              <w:pStyle w:val="Compact"/>
            </w:pPr>
            <w:r>
              <w:t xml:space="preserve">Attendance improvement and cruise/park growth key</w:t>
            </w:r>
          </w:p>
        </w:tc>
      </w:tr>
    </w:tbl>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2026-08-05T00:16:09Z</dcterms:created>
  <dcterms:modified xsi:type="dcterms:W3CDTF">2026-08-05T00:16:09Z</dcterms:modified>
</cp:coreProperties>
</file>

<file path=docProps/custom.xml><?xml version="1.0" encoding="utf-8"?>
<Properties xmlns="http://schemas.openxmlformats.org/officeDocument/2006/custom-properties" xmlns:vt="http://schemas.openxmlformats.org/officeDocument/2006/docPropsVTypes"/>
</file>