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DIS — Q3 FY2026 Earnings Preview</w:t>
      </w:r>
    </w:p>
    <w:p>
      <w:r>
        <w:rPr>
          <w:rFonts w:ascii="Calibri" w:hAnsi="Calibri"/>
          <w:color w:val="525866"/>
          <w:sz w:val="22"/>
        </w:rPr>
        <w:t>The Walt Disney Company (DIS)  |  Prepared: August 4, 2026  |  Reports: August 5, 2026 (Before Market Open)  |  Reporting Period: Q3 FY2026 (fiscal quarter ending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into Q3 is constructive — management guided for improving domestic parks attendance, continued SVOD margin expansion, and back-half earnings acceleration, but the stock has de-rated </w:t>
      </w:r>
      <w:r>
        <w:rPr>
          <w:rFonts w:ascii="Calibri" w:hAnsi="Calibri"/>
          <w:b/>
          <w:color w:val="E5484D"/>
          <w:sz w:val="22"/>
        </w:rPr>
        <w:t>~9%</w:t>
      </w:r>
      <w:r>
        <w:rPr>
          <w:rFonts w:ascii="Calibri" w:hAnsi="Calibri"/>
          <w:b/>
          <w:color w:val="525866"/>
          <w:sz w:val="22"/>
        </w:rPr>
        <w:t xml:space="preserve"> since the Q2 print, creating a </w:t>
      </w:r>
      <w:r>
        <w:rPr>
          <w:rFonts w:ascii="Calibri" w:hAnsi="Calibri"/>
          <w:b/>
          <w:color w:val="30A46C"/>
          <w:sz w:val="22"/>
        </w:rPr>
        <w:t>low bar</w:t>
      </w:r>
      <w:r>
        <w:rPr>
          <w:rFonts w:ascii="Calibri" w:hAnsi="Calibri"/>
          <w:b/>
          <w:color w:val="525866"/>
          <w:sz w:val="22"/>
        </w:rPr>
        <w:t xml:space="preserve"> that could reward execution.</w:t>
      </w:r>
    </w:p>
    <w:p>
      <w:r>
        <w:rPr>
          <w:rFonts w:ascii="Calibri" w:hAnsi="Calibri"/>
          <w:color w:val="525866"/>
          <w:sz w:val="22"/>
        </w:rPr>
        <w:t xml:space="preserve">Disney heads into Q3 FY2026 earnings with a setup that is arguably more favorable than the stock's post-Q2 selloff implies. Management explicitly guided for </w:t>
      </w:r>
      <w:r>
        <w:rPr>
          <w:rFonts w:ascii="Calibri" w:hAnsi="Calibri"/>
          <w:b/>
          <w:color w:val="525866"/>
          <w:sz w:val="22"/>
        </w:rPr>
        <w:t>domestic parks attendance to improve in Q3</w:t>
      </w:r>
      <w:r>
        <w:rPr>
          <w:rFonts w:ascii="Calibri" w:hAnsi="Calibri"/>
          <w:color w:val="525866"/>
          <w:sz w:val="22"/>
        </w:rPr>
        <w:t xml:space="preserve"> versus Q2's modest -1% decline, with Disney World bookings pacing up strongly and international visitation headwinds beginning to lap. On streaming, </w:t>
      </w:r>
      <w:r>
        <w:rPr>
          <w:rFonts w:ascii="Calibri" w:hAnsi="Calibri"/>
          <w:b/>
          <w:color w:val="525866"/>
          <w:sz w:val="22"/>
        </w:rPr>
        <w:t>SVOD margins crossed into double-digit territory in Q2 for the first time</w:t>
      </w:r>
      <w:r>
        <w:rPr>
          <w:rFonts w:ascii="Calibri" w:hAnsi="Calibri"/>
          <w:color w:val="525866"/>
          <w:sz w:val="22"/>
        </w:rPr>
        <w:t xml:space="preserve">, and the sequential revenue acceleration (11% in Q1 to 13% in Q2) is expected to continue. Consensus is looking for adjusted EPS of ~$1.84 vs. $1.61 in Q3 FY2025 — a high bar on the surface, but management's own guidance for ~12% full-year EPS growth (ex-53rd week) implies a strong back half, and the </w:t>
      </w:r>
      <w:r>
        <w:rPr>
          <w:rFonts w:ascii="Calibri" w:hAnsi="Calibri"/>
          <w:b/>
          <w:color w:val="525866"/>
          <w:sz w:val="22"/>
        </w:rPr>
        <w:t>53rd week provides an additional ~4% uplift</w:t>
      </w:r>
      <w:r>
        <w:rPr>
          <w:rFonts w:ascii="Calibri" w:hAnsi="Calibri"/>
          <w:color w:val="525866"/>
          <w:sz w:val="22"/>
        </w:rPr>
        <w:t xml:space="preserve"> to full-year results. The stock has underperformed both the S&amp;P 500 (-9.1% vs. +5.1%) and the XLC (-4.5%) since the Q2 print, suggesting the market has not given credit for the improving trajectory — a dynamic that could reverse sharply on a clean beat. The key wildcard is </w:t>
      </w:r>
      <w:r>
        <w:rPr>
          <w:rFonts w:ascii="Calibri" w:hAnsi="Calibri"/>
          <w:b/>
          <w:color w:val="525866"/>
          <w:sz w:val="22"/>
        </w:rPr>
        <w:t>domestic parks per-capita spending</w:t>
      </w:r>
      <w:r>
        <w:rPr>
          <w:rFonts w:ascii="Calibri" w:hAnsi="Calibri"/>
          <w:color w:val="525866"/>
          <w:sz w:val="22"/>
        </w:rPr>
        <w:t>: if the consumer holds up and pricing power remains intact (consensus expects ~+3.5% per-cap growth), the Experiences segment could be the upside driver; any softening there would be the primary downside risk.</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expects broad-based acceleration in Q3 — SVOD OI of ~$627M (vs. $329M a year ago), Experiences OI of ~$2.79B (vs. $2.52B), and adjusted EPS of ~$1.84 (vs. $1.61). The bar is high on SVOD but achievable given the Q2 momentum; </w:t>
      </w:r>
      <w:r>
        <w:rPr>
          <w:rFonts w:ascii="Calibri" w:hAnsi="Calibri"/>
          <w:b/>
          <w:color w:val="525866"/>
          <w:sz w:val="22"/>
        </w:rPr>
        <w:t>parks is the swing factor.</w:t>
      </w:r>
    </w:p>
    <w:p>
      <w:pPr>
        <w:pStyle w:val="Heading3"/>
      </w:pPr>
      <w:r>
        <w:rPr>
          <w:rFonts w:ascii="Calibri" w:hAnsi="Calibri"/>
          <w:b/>
          <w:color w:val="3B4259"/>
          <w:sz w:val="24"/>
        </w:rPr>
        <w:t>Table 1 — Current Quarter Snapshot (Q3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w:t>
            </w:r>
          </w:p>
        </w:tc>
        <w:tc>
          <w:tcPr>
            <w:tcW w:type="dxa" w:w="1234"/>
            <w:shd w:val="clear" w:color="auto" w:fill="3B4259"/>
          </w:tcPr>
          <w:p>
            <w:r>
              <w:rPr>
                <w:rFonts w:ascii="Calibri" w:hAnsi="Calibri"/>
                <w:b/>
                <w:color w:val="FFFFFF"/>
                <w:sz w:val="22"/>
              </w:rPr>
              <w:t>Q3 FY2025 Actual (Prior Year)</w:t>
            </w:r>
          </w:p>
        </w:tc>
        <w:tc>
          <w:tcPr>
            <w:tcW w:type="dxa" w:w="1234"/>
            <w:shd w:val="clear" w:color="auto" w:fill="3B4259"/>
          </w:tcPr>
          <w:p>
            <w:r>
              <w:rPr>
                <w:rFonts w:ascii="Calibri" w:hAnsi="Calibri"/>
                <w:b/>
                <w:color w:val="FFFFFF"/>
                <w:sz w:val="22"/>
              </w:rPr>
              <w:t>Q3 FY2026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$25.17B</w:t>
            </w:r>
          </w:p>
        </w:tc>
        <w:tc>
          <w:tcPr>
            <w:tcW w:type="dxa" w:w="1234"/>
          </w:tcPr>
          <w:p>
            <w:r>
              <w:rPr>
                <w:rFonts w:ascii="Calibri" w:hAnsi="Calibri"/>
                <w:sz w:val="22"/>
              </w:rPr>
              <w:t>$23.65B</w:t>
            </w:r>
          </w:p>
        </w:tc>
        <w:tc>
          <w:tcPr>
            <w:tcW w:type="dxa" w:w="1234"/>
          </w:tcPr>
          <w:p>
            <w:r>
              <w:rPr>
                <w:rFonts w:ascii="Calibri" w:hAnsi="Calibri"/>
                <w:sz w:val="22"/>
              </w:rPr>
              <w:t>$25.41B</w:t>
            </w:r>
          </w:p>
        </w:tc>
        <w:tc>
          <w:tcPr>
            <w:tcW w:type="dxa" w:w="1234"/>
          </w:tcPr>
          <w:p>
            <w:r>
              <w:rPr>
                <w:rFonts w:ascii="Calibri" w:hAnsi="Calibri"/>
                <w:b/>
                <w:color w:val="30A46C"/>
                <w:sz w:val="22"/>
              </w:rPr>
              <w:t>+7.4%</w:t>
            </w:r>
          </w:p>
        </w:tc>
        <w:tc>
          <w:tcPr>
            <w:tcW w:type="dxa" w:w="1234"/>
          </w:tcPr>
          <w:p>
            <w:r>
              <w:rPr>
                <w:rFonts w:ascii="Calibri" w:hAnsi="Calibri"/>
                <w:sz w:val="22"/>
              </w:rPr>
              <w:t>N/A (no specific Q3 guide)</w:t>
            </w:r>
          </w:p>
        </w:tc>
        <w:tc>
          <w:tcPr>
            <w:tcW w:type="dxa" w:w="1234"/>
          </w:tcPr>
          <w:p>
            <w:r>
              <w:rPr>
                <w:rFonts w:ascii="Calibri" w:hAnsi="Calibri"/>
                <w:sz w:val="22"/>
              </w:rPr>
              <w:t>N/A</w:t>
            </w:r>
          </w:p>
        </w:tc>
      </w:tr>
      <w:tr>
        <w:tc>
          <w:tcPr>
            <w:tcW w:type="dxa" w:w="1234"/>
          </w:tcPr>
          <w:p>
            <w:r>
              <w:rPr>
                <w:rFonts w:ascii="Calibri" w:hAnsi="Calibri"/>
                <w:sz w:val="22"/>
              </w:rPr>
              <w:t>Adjusted EPS (Diluted)</w:t>
            </w:r>
          </w:p>
        </w:tc>
        <w:tc>
          <w:tcPr>
            <w:tcW w:type="dxa" w:w="1234"/>
          </w:tcPr>
          <w:p>
            <w:r>
              <w:rPr>
                <w:rFonts w:ascii="Calibri" w:hAnsi="Calibri"/>
                <w:sz w:val="22"/>
              </w:rPr>
              <w:t>$1.57</w:t>
            </w:r>
          </w:p>
        </w:tc>
        <w:tc>
          <w:tcPr>
            <w:tcW w:type="dxa" w:w="1234"/>
          </w:tcPr>
          <w:p>
            <w:r>
              <w:rPr>
                <w:rFonts w:ascii="Calibri" w:hAnsi="Calibri"/>
                <w:sz w:val="22"/>
              </w:rPr>
              <w:t>$1.61</w:t>
            </w:r>
          </w:p>
        </w:tc>
        <w:tc>
          <w:tcPr>
            <w:tcW w:type="dxa" w:w="1234"/>
          </w:tcPr>
          <w:p>
            <w:r>
              <w:rPr>
                <w:rFonts w:ascii="Calibri" w:hAnsi="Calibri"/>
                <w:sz w:val="22"/>
              </w:rPr>
              <w:t>$1.84</w:t>
            </w:r>
          </w:p>
        </w:tc>
        <w:tc>
          <w:tcPr>
            <w:tcW w:type="dxa" w:w="1234"/>
          </w:tcPr>
          <w:p>
            <w:r>
              <w:rPr>
                <w:rFonts w:ascii="Calibri" w:hAnsi="Calibri"/>
                <w:b/>
                <w:color w:val="30A46C"/>
                <w:sz w:val="22"/>
              </w:rPr>
              <w:t>+14.3%</w:t>
            </w:r>
          </w:p>
        </w:tc>
        <w:tc>
          <w:tcPr>
            <w:tcW w:type="dxa" w:w="1234"/>
          </w:tcPr>
          <w:p>
            <w:r>
              <w:rPr>
                <w:rFonts w:ascii="Calibri" w:hAnsi="Calibri"/>
                <w:sz w:val="22"/>
              </w:rPr>
              <w:t>~12% FY growth (ex-53rd wk)</w:t>
            </w:r>
          </w:p>
        </w:tc>
        <w:tc>
          <w:tcPr>
            <w:tcW w:type="dxa" w:w="1234"/>
          </w:tcPr>
          <w:p>
            <w:r>
              <w:rPr>
                <w:rFonts w:ascii="Calibri" w:hAnsi="Calibri"/>
                <w:sz w:val="22"/>
              </w:rPr>
              <w:t>Tracking above midpoint</w:t>
            </w:r>
          </w:p>
        </w:tc>
      </w:tr>
      <w:tr>
        <w:tc>
          <w:tcPr>
            <w:tcW w:type="dxa" w:w="1234"/>
          </w:tcPr>
          <w:p>
            <w:r>
              <w:rPr>
                <w:rFonts w:ascii="Calibri" w:hAnsi="Calibri"/>
                <w:sz w:val="22"/>
              </w:rPr>
              <w:t>SVOD Operating Income</w:t>
            </w:r>
          </w:p>
        </w:tc>
        <w:tc>
          <w:tcPr>
            <w:tcW w:type="dxa" w:w="1234"/>
          </w:tcPr>
          <w:p>
            <w:r>
              <w:rPr>
                <w:rFonts w:ascii="Calibri" w:hAnsi="Calibri"/>
                <w:sz w:val="22"/>
              </w:rPr>
              <w:t>$582M</w:t>
            </w:r>
          </w:p>
        </w:tc>
        <w:tc>
          <w:tcPr>
            <w:tcW w:type="dxa" w:w="1234"/>
          </w:tcPr>
          <w:p>
            <w:r>
              <w:rPr>
                <w:rFonts w:ascii="Calibri" w:hAnsi="Calibri"/>
                <w:sz w:val="22"/>
              </w:rPr>
              <w:t>$329M</w:t>
            </w:r>
          </w:p>
        </w:tc>
        <w:tc>
          <w:tcPr>
            <w:tcW w:type="dxa" w:w="1234"/>
          </w:tcPr>
          <w:p>
            <w:r>
              <w:rPr>
                <w:rFonts w:ascii="Calibri" w:hAnsi="Calibri"/>
                <w:sz w:val="22"/>
              </w:rPr>
              <w:t>$627M</w:t>
            </w:r>
          </w:p>
        </w:tc>
        <w:tc>
          <w:tcPr>
            <w:tcW w:type="dxa" w:w="1234"/>
          </w:tcPr>
          <w:p>
            <w:r>
              <w:rPr>
                <w:rFonts w:ascii="Calibri" w:hAnsi="Calibri"/>
                <w:b/>
                <w:color w:val="30A46C"/>
                <w:sz w:val="22"/>
              </w:rPr>
              <w:t>+90.6%</w:t>
            </w:r>
          </w:p>
        </w:tc>
        <w:tc>
          <w:tcPr>
            <w:tcW w:type="dxa" w:w="1234"/>
          </w:tcPr>
          <w:p>
            <w:r>
              <w:rPr>
                <w:rFonts w:ascii="Calibri" w:hAnsi="Calibri"/>
                <w:sz w:val="22"/>
              </w:rPr>
              <w:t>Double-digit margin sustained</w:t>
            </w:r>
          </w:p>
        </w:tc>
        <w:tc>
          <w:tcPr>
            <w:tcW w:type="dxa" w:w="1234"/>
          </w:tcPr>
          <w:p>
            <w:r>
              <w:rPr>
                <w:rFonts w:ascii="Calibri" w:hAnsi="Calibri"/>
                <w:sz w:val="22"/>
              </w:rPr>
              <w:t>Tracking guidance</w:t>
            </w:r>
          </w:p>
        </w:tc>
      </w:tr>
      <w:tr>
        <w:tc>
          <w:tcPr>
            <w:tcW w:type="dxa" w:w="1234"/>
          </w:tcPr>
          <w:p>
            <w:r>
              <w:rPr>
                <w:rFonts w:ascii="Calibri" w:hAnsi="Calibri"/>
                <w:sz w:val="22"/>
              </w:rPr>
              <w:t>Experiences Operating Income</w:t>
            </w:r>
          </w:p>
        </w:tc>
        <w:tc>
          <w:tcPr>
            <w:tcW w:type="dxa" w:w="1234"/>
          </w:tcPr>
          <w:p>
            <w:r>
              <w:rPr>
                <w:rFonts w:ascii="Calibri" w:hAnsi="Calibri"/>
                <w:sz w:val="22"/>
              </w:rPr>
              <w:t>$2.615B</w:t>
            </w:r>
          </w:p>
        </w:tc>
        <w:tc>
          <w:tcPr>
            <w:tcW w:type="dxa" w:w="1234"/>
          </w:tcPr>
          <w:p>
            <w:r>
              <w:rPr>
                <w:rFonts w:ascii="Calibri" w:hAnsi="Calibri"/>
                <w:sz w:val="22"/>
              </w:rPr>
              <w:t>$2.516B</w:t>
            </w:r>
          </w:p>
        </w:tc>
        <w:tc>
          <w:tcPr>
            <w:tcW w:type="dxa" w:w="1234"/>
          </w:tcPr>
          <w:p>
            <w:r>
              <w:rPr>
                <w:rFonts w:ascii="Calibri" w:hAnsi="Calibri"/>
                <w:sz w:val="22"/>
              </w:rPr>
              <w:t>$2.789B</w:t>
            </w:r>
          </w:p>
        </w:tc>
        <w:tc>
          <w:tcPr>
            <w:tcW w:type="dxa" w:w="1234"/>
          </w:tcPr>
          <w:p>
            <w:r>
              <w:rPr>
                <w:rFonts w:ascii="Calibri" w:hAnsi="Calibri"/>
                <w:b/>
                <w:color w:val="30A46C"/>
                <w:sz w:val="22"/>
              </w:rPr>
              <w:t>+10.9%</w:t>
            </w:r>
          </w:p>
        </w:tc>
        <w:tc>
          <w:tcPr>
            <w:tcW w:type="dxa" w:w="1234"/>
          </w:tcPr>
          <w:p>
            <w:r>
              <w:rPr>
                <w:rFonts w:ascii="Calibri" w:hAnsi="Calibri"/>
                <w:sz w:val="22"/>
              </w:rPr>
              <w:t>High-single-digit FY growth</w:t>
            </w:r>
          </w:p>
        </w:tc>
        <w:tc>
          <w:tcPr>
            <w:tcW w:type="dxa" w:w="1234"/>
          </w:tcPr>
          <w:p>
            <w:r>
              <w:rPr>
                <w:rFonts w:ascii="Calibri" w:hAnsi="Calibri"/>
                <w:sz w:val="22"/>
              </w:rPr>
              <w:t>Tracking guidance</w:t>
            </w:r>
          </w:p>
        </w:tc>
      </w:tr>
      <w:tr>
        <w:tc>
          <w:tcPr>
            <w:tcW w:type="dxa" w:w="1234"/>
          </w:tcPr>
          <w:p>
            <w:r>
              <w:rPr>
                <w:rFonts w:ascii="Calibri" w:hAnsi="Calibri"/>
                <w:sz w:val="22"/>
              </w:rPr>
              <w:t>Sports Operating Income</w:t>
            </w:r>
          </w:p>
        </w:tc>
        <w:tc>
          <w:tcPr>
            <w:tcW w:type="dxa" w:w="1234"/>
          </w:tcPr>
          <w:p>
            <w:r>
              <w:rPr>
                <w:rFonts w:ascii="Calibri" w:hAnsi="Calibri"/>
                <w:sz w:val="22"/>
              </w:rPr>
              <w:t>$652M</w:t>
            </w:r>
          </w:p>
        </w:tc>
        <w:tc>
          <w:tcPr>
            <w:tcW w:type="dxa" w:w="1234"/>
          </w:tcPr>
          <w:p>
            <w:r>
              <w:rPr>
                <w:rFonts w:ascii="Calibri" w:hAnsi="Calibri"/>
                <w:sz w:val="22"/>
              </w:rPr>
              <w:t>$1.037B</w:t>
            </w:r>
          </w:p>
        </w:tc>
        <w:tc>
          <w:tcPr>
            <w:tcW w:type="dxa" w:w="1234"/>
          </w:tcPr>
          <w:p>
            <w:r>
              <w:rPr>
                <w:rFonts w:ascii="Calibri" w:hAnsi="Calibri"/>
                <w:sz w:val="22"/>
              </w:rPr>
              <w:t>$897M</w:t>
            </w:r>
          </w:p>
        </w:tc>
        <w:tc>
          <w:tcPr>
            <w:tcW w:type="dxa" w:w="1234"/>
          </w:tcPr>
          <w:p>
            <w:r>
              <w:rPr>
                <w:rFonts w:ascii="Calibri" w:hAnsi="Calibri"/>
                <w:b/>
                <w:color w:val="E5484D"/>
                <w:sz w:val="22"/>
              </w:rPr>
              <w:t>-13.4%</w:t>
            </w:r>
          </w:p>
        </w:tc>
        <w:tc>
          <w:tcPr>
            <w:tcW w:type="dxa" w:w="1234"/>
          </w:tcPr>
          <w:p>
            <w:r>
              <w:rPr>
                <w:rFonts w:ascii="Calibri" w:hAnsi="Calibri"/>
                <w:sz w:val="22"/>
              </w:rPr>
              <w:t>Mid-single-digit FY growth (incl. NFL Network)</w:t>
            </w:r>
          </w:p>
        </w:tc>
        <w:tc>
          <w:tcPr>
            <w:tcW w:type="dxa" w:w="1234"/>
          </w:tcPr>
          <w:p>
            <w:r>
              <w:rPr>
                <w:rFonts w:ascii="Calibri" w:hAnsi="Calibri"/>
                <w:sz w:val="22"/>
              </w:rPr>
              <w:t>Tracking guidance</w:t>
            </w:r>
          </w:p>
        </w:tc>
      </w:tr>
      <w:tr>
        <w:tc>
          <w:tcPr>
            <w:tcW w:type="dxa" w:w="1234"/>
          </w:tcPr>
          <w:p>
            <w:r>
              <w:rPr>
                <w:rFonts w:ascii="Calibri" w:hAnsi="Calibri"/>
                <w:sz w:val="22"/>
              </w:rPr>
              <w:t>Entertainment Operating Income</w:t>
            </w:r>
          </w:p>
        </w:tc>
        <w:tc>
          <w:tcPr>
            <w:tcW w:type="dxa" w:w="1234"/>
          </w:tcPr>
          <w:p>
            <w:r>
              <w:rPr>
                <w:rFonts w:ascii="Calibri" w:hAnsi="Calibri"/>
                <w:sz w:val="22"/>
              </w:rPr>
              <w:t>$1.336B</w:t>
            </w:r>
          </w:p>
        </w:tc>
        <w:tc>
          <w:tcPr>
            <w:tcW w:type="dxa" w:w="1234"/>
          </w:tcPr>
          <w:p>
            <w:r>
              <w:rPr>
                <w:rFonts w:ascii="Calibri" w:hAnsi="Calibri"/>
                <w:sz w:val="22"/>
              </w:rPr>
              <w:t>$1.022B</w:t>
            </w:r>
          </w:p>
        </w:tc>
        <w:tc>
          <w:tcPr>
            <w:tcW w:type="dxa" w:w="1234"/>
          </w:tcPr>
          <w:p>
            <w:r>
              <w:rPr>
                <w:rFonts w:ascii="Calibri" w:hAnsi="Calibri"/>
                <w:sz w:val="22"/>
              </w:rPr>
              <w:t>$1.541B</w:t>
            </w:r>
          </w:p>
        </w:tc>
        <w:tc>
          <w:tcPr>
            <w:tcW w:type="dxa" w:w="1234"/>
          </w:tcPr>
          <w:p>
            <w:r>
              <w:rPr>
                <w:rFonts w:ascii="Calibri" w:hAnsi="Calibri"/>
                <w:b/>
                <w:color w:val="30A46C"/>
                <w:sz w:val="22"/>
              </w:rPr>
              <w:t>+50.8%</w:t>
            </w:r>
          </w:p>
        </w:tc>
        <w:tc>
          <w:tcPr>
            <w:tcW w:type="dxa" w:w="1234"/>
          </w:tcPr>
          <w:p>
            <w:r>
              <w:rPr>
                <w:rFonts w:ascii="Calibri" w:hAnsi="Calibri"/>
                <w:sz w:val="22"/>
              </w:rPr>
              <w:t>Double-digit FY growth</w:t>
            </w:r>
          </w:p>
        </w:tc>
        <w:tc>
          <w:tcPr>
            <w:tcW w:type="dxa" w:w="1234"/>
          </w:tcPr>
          <w:p>
            <w:r>
              <w:rPr>
                <w:rFonts w:ascii="Calibri" w:hAnsi="Calibri"/>
                <w:sz w:val="22"/>
              </w:rPr>
              <w:t>Tracking guidance</w:t>
            </w:r>
          </w:p>
        </w:tc>
      </w:tr>
      <w:tr>
        <w:tc>
          <w:tcPr>
            <w:tcW w:type="dxa" w:w="1234"/>
          </w:tcPr>
          <w:p>
            <w:r>
              <w:rPr>
                <w:rFonts w:ascii="Calibri" w:hAnsi="Calibri"/>
                <w:sz w:val="22"/>
              </w:rPr>
              <w:t>Segmented Operating Income</w:t>
            </w:r>
          </w:p>
        </w:tc>
        <w:tc>
          <w:tcPr>
            <w:tcW w:type="dxa" w:w="1234"/>
          </w:tcPr>
          <w:p>
            <w:r>
              <w:rPr>
                <w:rFonts w:ascii="Calibri" w:hAnsi="Calibri"/>
                <w:sz w:val="22"/>
              </w:rPr>
              <w:t>$4.603B</w:t>
            </w:r>
          </w:p>
        </w:tc>
        <w:tc>
          <w:tcPr>
            <w:tcW w:type="dxa" w:w="1234"/>
          </w:tcPr>
          <w:p>
            <w:r>
              <w:rPr>
                <w:rFonts w:ascii="Calibri" w:hAnsi="Calibri"/>
                <w:sz w:val="22"/>
              </w:rPr>
              <w:t>$4.575B</w:t>
            </w:r>
          </w:p>
        </w:tc>
        <w:tc>
          <w:tcPr>
            <w:tcW w:type="dxa" w:w="1234"/>
          </w:tcPr>
          <w:p>
            <w:r>
              <w:rPr>
                <w:rFonts w:ascii="Calibri" w:hAnsi="Calibri"/>
                <w:sz w:val="22"/>
              </w:rPr>
              <w:t>$5.227B</w:t>
            </w:r>
          </w:p>
        </w:tc>
        <w:tc>
          <w:tcPr>
            <w:tcW w:type="dxa" w:w="1234"/>
          </w:tcPr>
          <w:p>
            <w:r>
              <w:rPr>
                <w:rFonts w:ascii="Calibri" w:hAnsi="Calibri"/>
                <w:b/>
                <w:color w:val="30A46C"/>
                <w:sz w:val="22"/>
              </w:rPr>
              <w:t>+14.2%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Domestic Parks Attendance</w:t>
            </w:r>
          </w:p>
        </w:tc>
        <w:tc>
          <w:tcPr>
            <w:tcW w:type="dxa" w:w="1234"/>
          </w:tcPr>
          <w:p>
            <w:r>
              <w:rPr>
                <w:rFonts w:ascii="Calibri" w:hAnsi="Calibri"/>
                <w:sz w:val="22"/>
              </w:rPr>
              <w:t>19.66M</w:t>
            </w:r>
          </w:p>
        </w:tc>
        <w:tc>
          <w:tcPr>
            <w:tcW w:type="dxa" w:w="1234"/>
          </w:tcPr>
          <w:p>
            <w:r>
              <w:rPr>
                <w:rFonts w:ascii="Calibri" w:hAnsi="Calibri"/>
                <w:sz w:val="22"/>
              </w:rPr>
              <w:t>20.56M</w:t>
            </w:r>
          </w:p>
        </w:tc>
        <w:tc>
          <w:tcPr>
            <w:tcW w:type="dxa" w:w="1234"/>
          </w:tcPr>
          <w:p>
            <w:r>
              <w:rPr>
                <w:rFonts w:ascii="Calibri" w:hAnsi="Calibri"/>
                <w:sz w:val="22"/>
              </w:rPr>
              <w:t>20.69M</w:t>
            </w:r>
          </w:p>
        </w:tc>
        <w:tc>
          <w:tcPr>
            <w:tcW w:type="dxa" w:w="1234"/>
          </w:tcPr>
          <w:p>
            <w:r>
              <w:rPr>
                <w:rFonts w:ascii="Calibri" w:hAnsi="Calibri"/>
                <w:sz w:val="22"/>
              </w:rPr>
              <w:t>+0.6%</w:t>
            </w:r>
          </w:p>
        </w:tc>
        <w:tc>
          <w:tcPr>
            <w:tcW w:type="dxa" w:w="1234"/>
          </w:tcPr>
          <w:p>
            <w:r>
              <w:rPr>
                <w:rFonts w:ascii="Calibri" w:hAnsi="Calibri"/>
                <w:sz w:val="22"/>
              </w:rPr>
              <w:t>Improvement vs. Q2 (-1%)</w:t>
            </w:r>
          </w:p>
        </w:tc>
        <w:tc>
          <w:tcPr>
            <w:tcW w:type="dxa" w:w="1234"/>
          </w:tcPr>
          <w:p>
            <w:r>
              <w:rPr>
                <w:rFonts w:ascii="Calibri" w:hAnsi="Calibri"/>
                <w:sz w:val="22"/>
              </w:rPr>
              <w:t>Tracking guidance</w:t>
            </w:r>
          </w:p>
        </w:tc>
      </w:tr>
      <w:tr>
        <w:tc>
          <w:tcPr>
            <w:tcW w:type="dxa" w:w="1234"/>
          </w:tcPr>
          <w:p>
            <w:r>
              <w:rPr>
                <w:rFonts w:ascii="Calibri" w:hAnsi="Calibri"/>
                <w:sz w:val="22"/>
              </w:rPr>
              <w:t>Domestic Parks Per-Cap Spending (YoY%)</w:t>
            </w:r>
          </w:p>
        </w:tc>
        <w:tc>
          <w:tcPr>
            <w:tcW w:type="dxa" w:w="1234"/>
          </w:tcPr>
          <w:p>
            <w:r>
              <w:rPr>
                <w:rFonts w:ascii="Calibri" w:hAnsi="Calibri"/>
                <w:sz w:val="22"/>
              </w:rPr>
              <w:t>+5% (Q2 FY26)</w:t>
            </w:r>
          </w:p>
        </w:tc>
        <w:tc>
          <w:tcPr>
            <w:tcW w:type="dxa" w:w="1234"/>
          </w:tcPr>
          <w:p>
            <w:r>
              <w:rPr>
                <w:rFonts w:ascii="Calibri" w:hAnsi="Calibri"/>
                <w:sz w:val="22"/>
              </w:rPr>
              <w:t>+8% (Q3 FY25)</w:t>
            </w:r>
          </w:p>
        </w:tc>
        <w:tc>
          <w:tcPr>
            <w:tcW w:type="dxa" w:w="1234"/>
          </w:tcPr>
          <w:p>
            <w:r>
              <w:rPr>
                <w:rFonts w:ascii="Calibri" w:hAnsi="Calibri"/>
                <w:sz w:val="22"/>
              </w:rPr>
              <w:t>~+3.5%</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 xml:space="preserve">Source: </w:t>
      </w:r>
      <w:r>
        <w:rPr>
          <w:rFonts w:ascii="Calibri" w:hAnsi="Calibri"/>
          <w:i/>
          <w:color w:val="525866"/>
          <w:sz w:val="22"/>
        </w:rPr>
        <w:t>All consensus figures from Visible Alpha as of August 4, 2026. Sports OI decline YoY reflects higher NFL Network rights costs following the acquisition. SVOD OI YoY surge reflects the streaming profitability inflection.</w:t>
      </w:r>
    </w:p>
    <w:p>
      <w:pPr>
        <w:pStyle w:val="Heading3"/>
      </w:pPr>
      <w:r>
        <w:rPr>
          <w:rFonts w:ascii="Calibri" w:hAnsi="Calibri"/>
          <w:b/>
          <w:color w:val="3B4259"/>
          <w:sz w:val="24"/>
        </w:rPr>
        <w:t>Table 2 — Beat/Miss History (Last 8 Quarters)</w:t>
      </w:r>
    </w:p>
    <w:p>
      <w:r>
        <w:rPr>
          <w:rFonts w:ascii="Calibri" w:hAnsi="Calibri"/>
          <w:b/>
          <w:color w:val="525866"/>
          <w:sz w:val="22"/>
        </w:rPr>
        <w:t>Top 2 KPIs: Adjusted EPS &amp; Total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FY2024</w:t>
            </w:r>
          </w:p>
        </w:tc>
        <w:tc>
          <w:tcPr>
            <w:tcW w:type="dxa" w:w="1440"/>
          </w:tcPr>
          <w:p>
            <w:r>
              <w:rPr>
                <w:rFonts w:ascii="Calibri" w:hAnsi="Calibri"/>
                <w:sz w:val="22"/>
              </w:rPr>
              <w:t>Adj. EPS</w:t>
            </w:r>
          </w:p>
        </w:tc>
        <w:tc>
          <w:tcPr>
            <w:tcW w:type="dxa" w:w="1440"/>
          </w:tcPr>
          <w:p>
            <w:r>
              <w:rPr>
                <w:rFonts w:ascii="Calibri" w:hAnsi="Calibri"/>
                <w:sz w:val="22"/>
              </w:rPr>
              <w:t>$1.39</w:t>
            </w:r>
          </w:p>
        </w:tc>
        <w:tc>
          <w:tcPr>
            <w:tcW w:type="dxa" w:w="1440"/>
          </w:tcPr>
          <w:p>
            <w:r>
              <w:rPr>
                <w:rFonts w:ascii="Calibri" w:hAnsi="Calibri"/>
                <w:sz w:val="22"/>
              </w:rPr>
              <w:t>$1.19</w:t>
            </w:r>
          </w:p>
        </w:tc>
        <w:tc>
          <w:tcPr>
            <w:tcW w:type="dxa" w:w="1440"/>
          </w:tcPr>
          <w:p>
            <w:r>
              <w:rPr>
                <w:rFonts w:ascii="Calibri" w:hAnsi="Calibri"/>
                <w:sz w:val="22"/>
              </w:rPr>
              <w:t>+16.8%</w:t>
            </w:r>
          </w:p>
        </w:tc>
        <w:tc>
          <w:tcPr>
            <w:tcW w:type="dxa" w:w="1440"/>
          </w:tcPr>
          <w:p>
            <w:r>
              <w:rPr>
                <w:rFonts w:ascii="Calibri" w:hAnsi="Calibri"/>
                <w:b/>
                <w:color w:val="30A46C"/>
                <w:sz w:val="22"/>
              </w:rPr>
              <w:t>Beat</w:t>
            </w:r>
          </w:p>
        </w:tc>
      </w:tr>
      <w:tr>
        <w:tc>
          <w:tcPr>
            <w:tcW w:type="dxa" w:w="1440"/>
          </w:tcPr>
          <w:p>
            <w:r>
              <w:rPr>
                <w:rFonts w:ascii="Calibri" w:hAnsi="Calibri"/>
                <w:sz w:val="22"/>
              </w:rPr>
              <w:t>Q3 FY2024</w:t>
            </w:r>
          </w:p>
        </w:tc>
        <w:tc>
          <w:tcPr>
            <w:tcW w:type="dxa" w:w="1440"/>
          </w:tcPr>
          <w:p>
            <w:r>
              <w:rPr>
                <w:rFonts w:ascii="Calibri" w:hAnsi="Calibri"/>
                <w:sz w:val="22"/>
              </w:rPr>
              <w:t>Revenue</w:t>
            </w:r>
          </w:p>
        </w:tc>
        <w:tc>
          <w:tcPr>
            <w:tcW w:type="dxa" w:w="1440"/>
          </w:tcPr>
          <w:p>
            <w:r>
              <w:rPr>
                <w:rFonts w:ascii="Calibri" w:hAnsi="Calibri"/>
                <w:sz w:val="22"/>
              </w:rPr>
              <w:t>$23.16B</w:t>
            </w:r>
          </w:p>
        </w:tc>
        <w:tc>
          <w:tcPr>
            <w:tcW w:type="dxa" w:w="1440"/>
          </w:tcPr>
          <w:p>
            <w:r>
              <w:rPr>
                <w:rFonts w:ascii="Calibri" w:hAnsi="Calibri"/>
                <w:sz w:val="22"/>
              </w:rPr>
              <w:t>$23.03B</w:t>
            </w:r>
          </w:p>
        </w:tc>
        <w:tc>
          <w:tcPr>
            <w:tcW w:type="dxa" w:w="1440"/>
          </w:tcPr>
          <w:p>
            <w:r>
              <w:rPr>
                <w:rFonts w:ascii="Calibri" w:hAnsi="Calibri"/>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Q4 FY2024</w:t>
            </w:r>
          </w:p>
        </w:tc>
        <w:tc>
          <w:tcPr>
            <w:tcW w:type="dxa" w:w="1440"/>
          </w:tcPr>
          <w:p>
            <w:r>
              <w:rPr>
                <w:rFonts w:ascii="Calibri" w:hAnsi="Calibri"/>
                <w:sz w:val="22"/>
              </w:rPr>
              <w:t>Adj. EPS</w:t>
            </w:r>
          </w:p>
        </w:tc>
        <w:tc>
          <w:tcPr>
            <w:tcW w:type="dxa" w:w="1440"/>
          </w:tcPr>
          <w:p>
            <w:r>
              <w:rPr>
                <w:rFonts w:ascii="Calibri" w:hAnsi="Calibri"/>
                <w:sz w:val="22"/>
              </w:rPr>
              <w:t>$1.14</w:t>
            </w:r>
          </w:p>
        </w:tc>
        <w:tc>
          <w:tcPr>
            <w:tcW w:type="dxa" w:w="1440"/>
          </w:tcPr>
          <w:p>
            <w:r>
              <w:rPr>
                <w:rFonts w:ascii="Calibri" w:hAnsi="Calibri"/>
                <w:sz w:val="22"/>
              </w:rPr>
              <w:t>$1.11</w:t>
            </w:r>
          </w:p>
        </w:tc>
        <w:tc>
          <w:tcPr>
            <w:tcW w:type="dxa" w:w="1440"/>
          </w:tcPr>
          <w:p>
            <w:r>
              <w:rPr>
                <w:rFonts w:ascii="Calibri" w:hAnsi="Calibri"/>
                <w:sz w:val="22"/>
              </w:rPr>
              <w:t>+2.7%</w:t>
            </w:r>
          </w:p>
        </w:tc>
        <w:tc>
          <w:tcPr>
            <w:tcW w:type="dxa" w:w="1440"/>
          </w:tcPr>
          <w:p>
            <w:r>
              <w:rPr>
                <w:rFonts w:ascii="Calibri" w:hAnsi="Calibri"/>
                <w:b/>
                <w:color w:val="30A46C"/>
                <w:sz w:val="22"/>
              </w:rPr>
              <w:t>Beat</w:t>
            </w:r>
          </w:p>
        </w:tc>
      </w:tr>
      <w:tr>
        <w:tc>
          <w:tcPr>
            <w:tcW w:type="dxa" w:w="1440"/>
          </w:tcPr>
          <w:p>
            <w:r>
              <w:rPr>
                <w:rFonts w:ascii="Calibri" w:hAnsi="Calibri"/>
                <w:sz w:val="22"/>
              </w:rPr>
              <w:t>Q4 FY2024</w:t>
            </w:r>
          </w:p>
        </w:tc>
        <w:tc>
          <w:tcPr>
            <w:tcW w:type="dxa" w:w="1440"/>
          </w:tcPr>
          <w:p>
            <w:r>
              <w:rPr>
                <w:rFonts w:ascii="Calibri" w:hAnsi="Calibri"/>
                <w:sz w:val="22"/>
              </w:rPr>
              <w:t>Revenue</w:t>
            </w:r>
          </w:p>
        </w:tc>
        <w:tc>
          <w:tcPr>
            <w:tcW w:type="dxa" w:w="1440"/>
          </w:tcPr>
          <w:p>
            <w:r>
              <w:rPr>
                <w:rFonts w:ascii="Calibri" w:hAnsi="Calibri"/>
                <w:sz w:val="22"/>
              </w:rPr>
              <w:t>$22.57B</w:t>
            </w:r>
          </w:p>
        </w:tc>
        <w:tc>
          <w:tcPr>
            <w:tcW w:type="dxa" w:w="1440"/>
          </w:tcPr>
          <w:p>
            <w:r>
              <w:rPr>
                <w:rFonts w:ascii="Calibri" w:hAnsi="Calibri"/>
                <w:sz w:val="22"/>
              </w:rPr>
              <w:t>$22.52B</w:t>
            </w:r>
          </w:p>
        </w:tc>
        <w:tc>
          <w:tcPr>
            <w:tcW w:type="dxa" w:w="1440"/>
          </w:tcPr>
          <w:p>
            <w:r>
              <w:rPr>
                <w:rFonts w:ascii="Calibri" w:hAnsi="Calibri"/>
                <w:sz w:val="22"/>
              </w:rPr>
              <w:t>+0.2%</w:t>
            </w:r>
          </w:p>
        </w:tc>
        <w:tc>
          <w:tcPr>
            <w:tcW w:type="dxa" w:w="1440"/>
          </w:tcPr>
          <w:p>
            <w:r>
              <w:rPr>
                <w:rFonts w:ascii="Calibri" w:hAnsi="Calibri"/>
                <w:b/>
                <w:color w:val="30A46C"/>
                <w:sz w:val="22"/>
              </w:rPr>
              <w:t>Beat</w:t>
            </w:r>
          </w:p>
        </w:tc>
      </w:tr>
      <w:tr>
        <w:tc>
          <w:tcPr>
            <w:tcW w:type="dxa" w:w="1440"/>
          </w:tcPr>
          <w:p>
            <w:r>
              <w:rPr>
                <w:rFonts w:ascii="Calibri" w:hAnsi="Calibri"/>
                <w:sz w:val="22"/>
              </w:rPr>
              <w:t>Q1 FY2025</w:t>
            </w:r>
          </w:p>
        </w:tc>
        <w:tc>
          <w:tcPr>
            <w:tcW w:type="dxa" w:w="1440"/>
          </w:tcPr>
          <w:p>
            <w:r>
              <w:rPr>
                <w:rFonts w:ascii="Calibri" w:hAnsi="Calibri"/>
                <w:sz w:val="22"/>
              </w:rPr>
              <w:t>Adj. EPS</w:t>
            </w:r>
          </w:p>
        </w:tc>
        <w:tc>
          <w:tcPr>
            <w:tcW w:type="dxa" w:w="1440"/>
          </w:tcPr>
          <w:p>
            <w:r>
              <w:rPr>
                <w:rFonts w:ascii="Calibri" w:hAnsi="Calibri"/>
                <w:sz w:val="22"/>
              </w:rPr>
              <w:t>$1.76</w:t>
            </w:r>
          </w:p>
        </w:tc>
        <w:tc>
          <w:tcPr>
            <w:tcW w:type="dxa" w:w="1440"/>
          </w:tcPr>
          <w:p>
            <w:r>
              <w:rPr>
                <w:rFonts w:ascii="Calibri" w:hAnsi="Calibri"/>
                <w:sz w:val="22"/>
              </w:rPr>
              <w:t>$1.45</w:t>
            </w:r>
          </w:p>
        </w:tc>
        <w:tc>
          <w:tcPr>
            <w:tcW w:type="dxa" w:w="1440"/>
          </w:tcPr>
          <w:p>
            <w:r>
              <w:rPr>
                <w:rFonts w:ascii="Calibri" w:hAnsi="Calibri"/>
                <w:sz w:val="22"/>
              </w:rPr>
              <w:t>+21.4%</w:t>
            </w:r>
          </w:p>
        </w:tc>
        <w:tc>
          <w:tcPr>
            <w:tcW w:type="dxa" w:w="1440"/>
          </w:tcPr>
          <w:p>
            <w:r>
              <w:rPr>
                <w:rFonts w:ascii="Calibri" w:hAnsi="Calibri"/>
                <w:b/>
                <w:color w:val="30A46C"/>
                <w:sz w:val="22"/>
              </w:rPr>
              <w:t>Beat</w:t>
            </w:r>
          </w:p>
        </w:tc>
      </w:tr>
      <w:tr>
        <w:tc>
          <w:tcPr>
            <w:tcW w:type="dxa" w:w="1440"/>
          </w:tcPr>
          <w:p>
            <w:r>
              <w:rPr>
                <w:rFonts w:ascii="Calibri" w:hAnsi="Calibri"/>
                <w:sz w:val="22"/>
              </w:rPr>
              <w:t>Q1 FY2025</w:t>
            </w:r>
          </w:p>
        </w:tc>
        <w:tc>
          <w:tcPr>
            <w:tcW w:type="dxa" w:w="1440"/>
          </w:tcPr>
          <w:p>
            <w:r>
              <w:rPr>
                <w:rFonts w:ascii="Calibri" w:hAnsi="Calibri"/>
                <w:sz w:val="22"/>
              </w:rPr>
              <w:t>Revenue</w:t>
            </w:r>
          </w:p>
        </w:tc>
        <w:tc>
          <w:tcPr>
            <w:tcW w:type="dxa" w:w="1440"/>
          </w:tcPr>
          <w:p>
            <w:r>
              <w:rPr>
                <w:rFonts w:ascii="Calibri" w:hAnsi="Calibri"/>
                <w:sz w:val="22"/>
              </w:rPr>
              <w:t>$24.69B</w:t>
            </w:r>
          </w:p>
        </w:tc>
        <w:tc>
          <w:tcPr>
            <w:tcW w:type="dxa" w:w="1440"/>
          </w:tcPr>
          <w:p>
            <w:r>
              <w:rPr>
                <w:rFonts w:ascii="Calibri" w:hAnsi="Calibri"/>
                <w:sz w:val="22"/>
              </w:rPr>
              <w:t>$24.63B</w:t>
            </w:r>
          </w:p>
        </w:tc>
        <w:tc>
          <w:tcPr>
            <w:tcW w:type="dxa" w:w="1440"/>
          </w:tcPr>
          <w:p>
            <w:r>
              <w:rPr>
                <w:rFonts w:ascii="Calibri" w:hAnsi="Calibri"/>
                <w:sz w:val="22"/>
              </w:rPr>
              <w:t>+0.2%</w:t>
            </w:r>
          </w:p>
        </w:tc>
        <w:tc>
          <w:tcPr>
            <w:tcW w:type="dxa" w:w="1440"/>
          </w:tcPr>
          <w:p>
            <w:r>
              <w:rPr>
                <w:rFonts w:ascii="Calibri" w:hAnsi="Calibri"/>
                <w:b/>
                <w:color w:val="30A46C"/>
                <w:sz w:val="22"/>
              </w:rPr>
              <w:t>Beat</w:t>
            </w:r>
          </w:p>
        </w:tc>
      </w:tr>
      <w:tr>
        <w:tc>
          <w:tcPr>
            <w:tcW w:type="dxa" w:w="1440"/>
          </w:tcPr>
          <w:p>
            <w:r>
              <w:rPr>
                <w:rFonts w:ascii="Calibri" w:hAnsi="Calibri"/>
                <w:sz w:val="22"/>
              </w:rPr>
              <w:t>Q2 FY2025</w:t>
            </w:r>
          </w:p>
        </w:tc>
        <w:tc>
          <w:tcPr>
            <w:tcW w:type="dxa" w:w="1440"/>
          </w:tcPr>
          <w:p>
            <w:r>
              <w:rPr>
                <w:rFonts w:ascii="Calibri" w:hAnsi="Calibri"/>
                <w:sz w:val="22"/>
              </w:rPr>
              <w:t>Adj. EPS</w:t>
            </w:r>
          </w:p>
        </w:tc>
        <w:tc>
          <w:tcPr>
            <w:tcW w:type="dxa" w:w="1440"/>
          </w:tcPr>
          <w:p>
            <w:r>
              <w:rPr>
                <w:rFonts w:ascii="Calibri" w:hAnsi="Calibri"/>
                <w:sz w:val="22"/>
              </w:rPr>
              <w:t>$1.45</w:t>
            </w:r>
          </w:p>
        </w:tc>
        <w:tc>
          <w:tcPr>
            <w:tcW w:type="dxa" w:w="1440"/>
          </w:tcPr>
          <w:p>
            <w:r>
              <w:rPr>
                <w:rFonts w:ascii="Calibri" w:hAnsi="Calibri"/>
                <w:sz w:val="22"/>
              </w:rPr>
              <w:t>$1.20</w:t>
            </w:r>
          </w:p>
        </w:tc>
        <w:tc>
          <w:tcPr>
            <w:tcW w:type="dxa" w:w="1440"/>
          </w:tcPr>
          <w:p>
            <w:r>
              <w:rPr>
                <w:rFonts w:ascii="Calibri" w:hAnsi="Calibri"/>
                <w:sz w:val="22"/>
              </w:rPr>
              <w:t>+20.8%</w:t>
            </w:r>
          </w:p>
        </w:tc>
        <w:tc>
          <w:tcPr>
            <w:tcW w:type="dxa" w:w="1440"/>
          </w:tcPr>
          <w:p>
            <w:r>
              <w:rPr>
                <w:rFonts w:ascii="Calibri" w:hAnsi="Calibri"/>
                <w:b/>
                <w:color w:val="30A46C"/>
                <w:sz w:val="22"/>
              </w:rPr>
              <w:t>Beat</w:t>
            </w:r>
          </w:p>
        </w:tc>
      </w:tr>
      <w:tr>
        <w:tc>
          <w:tcPr>
            <w:tcW w:type="dxa" w:w="1440"/>
          </w:tcPr>
          <w:p>
            <w:r>
              <w:rPr>
                <w:rFonts w:ascii="Calibri" w:hAnsi="Calibri"/>
                <w:sz w:val="22"/>
              </w:rPr>
              <w:t>Q2 FY2025</w:t>
            </w:r>
          </w:p>
        </w:tc>
        <w:tc>
          <w:tcPr>
            <w:tcW w:type="dxa" w:w="1440"/>
          </w:tcPr>
          <w:p>
            <w:r>
              <w:rPr>
                <w:rFonts w:ascii="Calibri" w:hAnsi="Calibri"/>
                <w:sz w:val="22"/>
              </w:rPr>
              <w:t>Revenue</w:t>
            </w:r>
          </w:p>
        </w:tc>
        <w:tc>
          <w:tcPr>
            <w:tcW w:type="dxa" w:w="1440"/>
          </w:tcPr>
          <w:p>
            <w:r>
              <w:rPr>
                <w:rFonts w:ascii="Calibri" w:hAnsi="Calibri"/>
                <w:sz w:val="22"/>
              </w:rPr>
              <w:t>$23.62B</w:t>
            </w:r>
          </w:p>
        </w:tc>
        <w:tc>
          <w:tcPr>
            <w:tcW w:type="dxa" w:w="1440"/>
          </w:tcPr>
          <w:p>
            <w:r>
              <w:rPr>
                <w:rFonts w:ascii="Calibri" w:hAnsi="Calibri"/>
                <w:sz w:val="22"/>
              </w:rPr>
              <w:t>$23.17B</w:t>
            </w:r>
          </w:p>
        </w:tc>
        <w:tc>
          <w:tcPr>
            <w:tcW w:type="dxa" w:w="1440"/>
          </w:tcPr>
          <w:p>
            <w:r>
              <w:rPr>
                <w:rFonts w:ascii="Calibri" w:hAnsi="Calibri"/>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Adj. EPS</w:t>
            </w:r>
          </w:p>
        </w:tc>
        <w:tc>
          <w:tcPr>
            <w:tcW w:type="dxa" w:w="1440"/>
          </w:tcPr>
          <w:p>
            <w:r>
              <w:rPr>
                <w:rFonts w:ascii="Calibri" w:hAnsi="Calibri"/>
                <w:sz w:val="22"/>
              </w:rPr>
              <w:t>$1.61</w:t>
            </w:r>
          </w:p>
        </w:tc>
        <w:tc>
          <w:tcPr>
            <w:tcW w:type="dxa" w:w="1440"/>
          </w:tcPr>
          <w:p>
            <w:r>
              <w:rPr>
                <w:rFonts w:ascii="Calibri" w:hAnsi="Calibri"/>
                <w:sz w:val="22"/>
              </w:rPr>
              <w:t>$1.48</w:t>
            </w:r>
          </w:p>
        </w:tc>
        <w:tc>
          <w:tcPr>
            <w:tcW w:type="dxa" w:w="1440"/>
          </w:tcPr>
          <w:p>
            <w:r>
              <w:rPr>
                <w:rFonts w:ascii="Calibri" w:hAnsi="Calibri"/>
                <w:sz w:val="22"/>
              </w:rPr>
              <w:t>+8.8%</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Revenue</w:t>
            </w:r>
          </w:p>
        </w:tc>
        <w:tc>
          <w:tcPr>
            <w:tcW w:type="dxa" w:w="1440"/>
          </w:tcPr>
          <w:p>
            <w:r>
              <w:rPr>
                <w:rFonts w:ascii="Calibri" w:hAnsi="Calibri"/>
                <w:sz w:val="22"/>
              </w:rPr>
              <w:t>$23.65B</w:t>
            </w:r>
          </w:p>
        </w:tc>
        <w:tc>
          <w:tcPr>
            <w:tcW w:type="dxa" w:w="1440"/>
          </w:tcPr>
          <w:p>
            <w:r>
              <w:rPr>
                <w:rFonts w:ascii="Calibri" w:hAnsi="Calibri"/>
                <w:sz w:val="22"/>
              </w:rPr>
              <w:t>$23.76B</w:t>
            </w:r>
          </w:p>
        </w:tc>
        <w:tc>
          <w:tcPr>
            <w:tcW w:type="dxa" w:w="1440"/>
          </w:tcPr>
          <w:p>
            <w:r>
              <w:rPr>
                <w:rFonts w:ascii="Calibri" w:hAnsi="Calibri"/>
                <w:sz w:val="22"/>
              </w:rPr>
              <w:t>-0.5%</w:t>
            </w:r>
          </w:p>
        </w:tc>
        <w:tc>
          <w:tcPr>
            <w:tcW w:type="dxa" w:w="1440"/>
          </w:tcPr>
          <w:p>
            <w:r>
              <w:rPr>
                <w:rFonts w:ascii="Calibri" w:hAnsi="Calibri"/>
                <w:b/>
                <w:color w:val="E5484D"/>
                <w:sz w:val="22"/>
              </w:rPr>
              <w:t>Miss</w:t>
            </w:r>
          </w:p>
        </w:tc>
      </w:tr>
      <w:tr>
        <w:tc>
          <w:tcPr>
            <w:tcW w:type="dxa" w:w="1440"/>
          </w:tcPr>
          <w:p>
            <w:r>
              <w:rPr>
                <w:rFonts w:ascii="Calibri" w:hAnsi="Calibri"/>
                <w:sz w:val="22"/>
              </w:rPr>
              <w:t>Q4 FY2025</w:t>
            </w:r>
          </w:p>
        </w:tc>
        <w:tc>
          <w:tcPr>
            <w:tcW w:type="dxa" w:w="1440"/>
          </w:tcPr>
          <w:p>
            <w:r>
              <w:rPr>
                <w:rFonts w:ascii="Calibri" w:hAnsi="Calibri"/>
                <w:sz w:val="22"/>
              </w:rPr>
              <w:t>Adj. EPS</w:t>
            </w:r>
          </w:p>
        </w:tc>
        <w:tc>
          <w:tcPr>
            <w:tcW w:type="dxa" w:w="1440"/>
          </w:tcPr>
          <w:p>
            <w:r>
              <w:rPr>
                <w:rFonts w:ascii="Calibri" w:hAnsi="Calibri"/>
                <w:sz w:val="22"/>
              </w:rPr>
              <w:t>$1.11</w:t>
            </w:r>
          </w:p>
        </w:tc>
        <w:tc>
          <w:tcPr>
            <w:tcW w:type="dxa" w:w="1440"/>
          </w:tcPr>
          <w:p>
            <w:r>
              <w:rPr>
                <w:rFonts w:ascii="Calibri" w:hAnsi="Calibri"/>
                <w:sz w:val="22"/>
              </w:rPr>
              <w:t>$1.04</w:t>
            </w:r>
          </w:p>
        </w:tc>
        <w:tc>
          <w:tcPr>
            <w:tcW w:type="dxa" w:w="1440"/>
          </w:tcPr>
          <w:p>
            <w:r>
              <w:rPr>
                <w:rFonts w:ascii="Calibri" w:hAnsi="Calibri"/>
                <w:sz w:val="22"/>
              </w:rPr>
              <w:t>+6.7%</w:t>
            </w:r>
          </w:p>
        </w:tc>
        <w:tc>
          <w:tcPr>
            <w:tcW w:type="dxa" w:w="1440"/>
          </w:tcPr>
          <w:p>
            <w:r>
              <w:rPr>
                <w:rFonts w:ascii="Calibri" w:hAnsi="Calibri"/>
                <w:b/>
                <w:color w:val="30A46C"/>
                <w:sz w:val="22"/>
              </w:rPr>
              <w:t>Beat</w:t>
            </w:r>
          </w:p>
        </w:tc>
      </w:tr>
      <w:tr>
        <w:tc>
          <w:tcPr>
            <w:tcW w:type="dxa" w:w="1440"/>
          </w:tcPr>
          <w:p>
            <w:r>
              <w:rPr>
                <w:rFonts w:ascii="Calibri" w:hAnsi="Calibri"/>
                <w:sz w:val="22"/>
              </w:rPr>
              <w:t>Q4 FY2025</w:t>
            </w:r>
          </w:p>
        </w:tc>
        <w:tc>
          <w:tcPr>
            <w:tcW w:type="dxa" w:w="1440"/>
          </w:tcPr>
          <w:p>
            <w:r>
              <w:rPr>
                <w:rFonts w:ascii="Calibri" w:hAnsi="Calibri"/>
                <w:sz w:val="22"/>
              </w:rPr>
              <w:t>Revenue</w:t>
            </w:r>
          </w:p>
        </w:tc>
        <w:tc>
          <w:tcPr>
            <w:tcW w:type="dxa" w:w="1440"/>
          </w:tcPr>
          <w:p>
            <w:r>
              <w:rPr>
                <w:rFonts w:ascii="Calibri" w:hAnsi="Calibri"/>
                <w:sz w:val="22"/>
              </w:rPr>
              <w:t>$22.46B</w:t>
            </w:r>
          </w:p>
        </w:tc>
        <w:tc>
          <w:tcPr>
            <w:tcW w:type="dxa" w:w="1440"/>
          </w:tcPr>
          <w:p>
            <w:r>
              <w:rPr>
                <w:rFonts w:ascii="Calibri" w:hAnsi="Calibri"/>
                <w:sz w:val="22"/>
              </w:rPr>
              <w:t>$22.75B</w:t>
            </w:r>
          </w:p>
        </w:tc>
        <w:tc>
          <w:tcPr>
            <w:tcW w:type="dxa" w:w="1440"/>
          </w:tcPr>
          <w:p>
            <w:r>
              <w:rPr>
                <w:rFonts w:ascii="Calibri" w:hAnsi="Calibri"/>
                <w:sz w:val="22"/>
              </w:rPr>
              <w:t>-1.3%</w:t>
            </w:r>
          </w:p>
        </w:tc>
        <w:tc>
          <w:tcPr>
            <w:tcW w:type="dxa" w:w="1440"/>
          </w:tcPr>
          <w:p>
            <w:r>
              <w:rPr>
                <w:rFonts w:ascii="Calibri" w:hAnsi="Calibri"/>
                <w:b/>
                <w:color w:val="E5484D"/>
                <w:sz w:val="22"/>
              </w:rPr>
              <w:t>Miss</w:t>
            </w:r>
          </w:p>
        </w:tc>
      </w:tr>
      <w:tr>
        <w:tc>
          <w:tcPr>
            <w:tcW w:type="dxa" w:w="1440"/>
          </w:tcPr>
          <w:p>
            <w:r>
              <w:rPr>
                <w:rFonts w:ascii="Calibri" w:hAnsi="Calibri"/>
                <w:sz w:val="22"/>
              </w:rPr>
              <w:t>Q1 FY2026</w:t>
            </w:r>
          </w:p>
        </w:tc>
        <w:tc>
          <w:tcPr>
            <w:tcW w:type="dxa" w:w="1440"/>
          </w:tcPr>
          <w:p>
            <w:r>
              <w:rPr>
                <w:rFonts w:ascii="Calibri" w:hAnsi="Calibri"/>
                <w:sz w:val="22"/>
              </w:rPr>
              <w:t>Adj. EPS</w:t>
            </w:r>
          </w:p>
        </w:tc>
        <w:tc>
          <w:tcPr>
            <w:tcW w:type="dxa" w:w="1440"/>
          </w:tcPr>
          <w:p>
            <w:r>
              <w:rPr>
                <w:rFonts w:ascii="Calibri" w:hAnsi="Calibri"/>
                <w:sz w:val="22"/>
              </w:rPr>
              <w:t>$1.63</w:t>
            </w:r>
          </w:p>
        </w:tc>
        <w:tc>
          <w:tcPr>
            <w:tcW w:type="dxa" w:w="1440"/>
          </w:tcPr>
          <w:p>
            <w:r>
              <w:rPr>
                <w:rFonts w:ascii="Calibri" w:hAnsi="Calibri"/>
                <w:sz w:val="22"/>
              </w:rPr>
              <w:t>$1.56</w:t>
            </w:r>
          </w:p>
        </w:tc>
        <w:tc>
          <w:tcPr>
            <w:tcW w:type="dxa" w:w="1440"/>
          </w:tcPr>
          <w:p>
            <w:r>
              <w:rPr>
                <w:rFonts w:ascii="Calibri" w:hAnsi="Calibri"/>
                <w:sz w:val="22"/>
              </w:rPr>
              <w:t>+4.5%</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Revenue</w:t>
            </w:r>
          </w:p>
        </w:tc>
        <w:tc>
          <w:tcPr>
            <w:tcW w:type="dxa" w:w="1440"/>
          </w:tcPr>
          <w:p>
            <w:r>
              <w:rPr>
                <w:rFonts w:ascii="Calibri" w:hAnsi="Calibri"/>
                <w:sz w:val="22"/>
              </w:rPr>
              <w:t>$25.98B</w:t>
            </w:r>
          </w:p>
        </w:tc>
        <w:tc>
          <w:tcPr>
            <w:tcW w:type="dxa" w:w="1440"/>
          </w:tcPr>
          <w:p>
            <w:r>
              <w:rPr>
                <w:rFonts w:ascii="Calibri" w:hAnsi="Calibri"/>
                <w:sz w:val="22"/>
              </w:rPr>
              <w:t>$25.78B</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Q2 FY2026</w:t>
            </w:r>
          </w:p>
        </w:tc>
        <w:tc>
          <w:tcPr>
            <w:tcW w:type="dxa" w:w="1440"/>
          </w:tcPr>
          <w:p>
            <w:r>
              <w:rPr>
                <w:rFonts w:ascii="Calibri" w:hAnsi="Calibri"/>
                <w:sz w:val="22"/>
              </w:rPr>
              <w:t>Adj. EPS</w:t>
            </w:r>
          </w:p>
        </w:tc>
        <w:tc>
          <w:tcPr>
            <w:tcW w:type="dxa" w:w="1440"/>
          </w:tcPr>
          <w:p>
            <w:r>
              <w:rPr>
                <w:rFonts w:ascii="Calibri" w:hAnsi="Calibri"/>
                <w:sz w:val="22"/>
              </w:rPr>
              <w:t>$1.57</w:t>
            </w:r>
          </w:p>
        </w:tc>
        <w:tc>
          <w:tcPr>
            <w:tcW w:type="dxa" w:w="1440"/>
          </w:tcPr>
          <w:p>
            <w:r>
              <w:rPr>
                <w:rFonts w:ascii="Calibri" w:hAnsi="Calibri"/>
                <w:sz w:val="22"/>
              </w:rPr>
              <w:t>$1.49</w:t>
            </w:r>
          </w:p>
        </w:tc>
        <w:tc>
          <w:tcPr>
            <w:tcW w:type="dxa" w:w="1440"/>
          </w:tcPr>
          <w:p>
            <w:r>
              <w:rPr>
                <w:rFonts w:ascii="Calibri" w:hAnsi="Calibri"/>
                <w:sz w:val="22"/>
              </w:rPr>
              <w:t>+5.4%</w:t>
            </w:r>
          </w:p>
        </w:tc>
        <w:tc>
          <w:tcPr>
            <w:tcW w:type="dxa" w:w="1440"/>
          </w:tcPr>
          <w:p>
            <w:r>
              <w:rPr>
                <w:rFonts w:ascii="Calibri" w:hAnsi="Calibri"/>
                <w:b/>
                <w:color w:val="30A46C"/>
                <w:sz w:val="22"/>
              </w:rPr>
              <w:t>Beat</w:t>
            </w:r>
          </w:p>
        </w:tc>
      </w:tr>
      <w:tr>
        <w:tc>
          <w:tcPr>
            <w:tcW w:type="dxa" w:w="1440"/>
          </w:tcPr>
          <w:p>
            <w:r>
              <w:rPr>
                <w:rFonts w:ascii="Calibri" w:hAnsi="Calibri"/>
                <w:sz w:val="22"/>
              </w:rPr>
              <w:t>Q2 FY2026</w:t>
            </w:r>
          </w:p>
        </w:tc>
        <w:tc>
          <w:tcPr>
            <w:tcW w:type="dxa" w:w="1440"/>
          </w:tcPr>
          <w:p>
            <w:r>
              <w:rPr>
                <w:rFonts w:ascii="Calibri" w:hAnsi="Calibri"/>
                <w:sz w:val="22"/>
              </w:rPr>
              <w:t>Revenue</w:t>
            </w:r>
          </w:p>
        </w:tc>
        <w:tc>
          <w:tcPr>
            <w:tcW w:type="dxa" w:w="1440"/>
          </w:tcPr>
          <w:p>
            <w:r>
              <w:rPr>
                <w:rFonts w:ascii="Calibri" w:hAnsi="Calibri"/>
                <w:sz w:val="22"/>
              </w:rPr>
              <w:t>$25.17B</w:t>
            </w:r>
          </w:p>
        </w:tc>
        <w:tc>
          <w:tcPr>
            <w:tcW w:type="dxa" w:w="1440"/>
          </w:tcPr>
          <w:p>
            <w:r>
              <w:rPr>
                <w:rFonts w:ascii="Calibri" w:hAnsi="Calibri"/>
                <w:sz w:val="22"/>
              </w:rPr>
              <w:t>$24.85B</w:t>
            </w:r>
          </w:p>
        </w:tc>
        <w:tc>
          <w:tcPr>
            <w:tcW w:type="dxa" w:w="1440"/>
          </w:tcPr>
          <w:p>
            <w:r>
              <w:rPr>
                <w:rFonts w:ascii="Calibri" w:hAnsi="Calibri"/>
                <w:sz w:val="22"/>
              </w:rPr>
              <w:t>+1.3%</w:t>
            </w:r>
          </w:p>
        </w:tc>
        <w:tc>
          <w:tcPr>
            <w:tcW w:type="dxa" w:w="1440"/>
          </w:tcPr>
          <w:p>
            <w:r>
              <w:rPr>
                <w:rFonts w:ascii="Calibri" w:hAnsi="Calibri"/>
                <w:b/>
                <w:color w:val="30A46C"/>
                <w:sz w:val="22"/>
              </w:rPr>
              <w:t>Beat</w:t>
            </w:r>
          </w:p>
        </w:tc>
      </w:tr>
    </w:tbl>
    <w:p>
      <w:r>
        <w:rPr>
          <w:rFonts w:ascii="Calibri" w:hAnsi="Calibri"/>
          <w:i/>
          <w:color w:val="525866"/>
          <w:sz w:val="22"/>
        </w:rPr>
        <w:t>DIS has beaten adjusted EPS consensus in all 8 of the last 8 quarters, with an average surprise of ~10.8%. Revenue beats have been more mixed — 2 misses in FY2025 — but the last 2 quarters show a return to consistent beats. The EPS beat streak is a strong signal of management's ability to manage to guidance.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Guidance has been stable since the Q2 print — no post-earnings revisions — but management's tone has shifted more constructive on parks (improving attendance, strong bookings) and streaming (double-digit margins achieved). The </w:t>
      </w:r>
      <w:r>
        <w:rPr>
          <w:rFonts w:ascii="Calibri" w:hAnsi="Calibri"/>
          <w:b/>
          <w:color w:val="30A46C"/>
          <w:sz w:val="22"/>
        </w:rPr>
        <w:t>53rd week is a meaningful incremental tailwind</w:t>
      </w:r>
      <w:r>
        <w:rPr>
          <w:rFonts w:ascii="Calibri" w:hAnsi="Calibri"/>
          <w:b/>
          <w:color w:val="525866"/>
          <w:sz w:val="22"/>
        </w:rPr>
        <w:t xml:space="preserve"> not fully appreciated by the market.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FY26 Earnings,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Adjusted EPS Growth</w:t>
            </w:r>
          </w:p>
        </w:tc>
        <w:tc>
          <w:tcPr>
            <w:tcW w:type="dxa" w:w="1728"/>
          </w:tcPr>
          <w:p>
            <w:r>
              <w:rPr>
                <w:rFonts w:ascii="Calibri" w:hAnsi="Calibri"/>
                <w:sz w:val="22"/>
              </w:rPr>
              <w:t>~12% (ex-53rd week)</w:t>
            </w:r>
          </w:p>
        </w:tc>
        <w:tc>
          <w:tcPr>
            <w:tcW w:type="dxa" w:w="1728"/>
          </w:tcPr>
          <w:p>
            <w:r>
              <w:rPr>
                <w:rFonts w:ascii="Calibri" w:hAnsi="Calibri"/>
                <w:sz w:val="22"/>
              </w:rPr>
              <w:t>—</w:t>
            </w:r>
          </w:p>
        </w:tc>
        <w:tc>
          <w:tcPr>
            <w:tcW w:type="dxa" w:w="1728"/>
          </w:tcPr>
          <w:p>
            <w:r>
              <w:rPr>
                <w:rFonts w:ascii="Calibri" w:hAnsi="Calibri"/>
                <w:sz w:val="22"/>
              </w:rPr>
              <w:t>$6.81 (~12% growth)</w:t>
            </w:r>
          </w:p>
        </w:tc>
        <w:tc>
          <w:tcPr>
            <w:tcW w:type="dxa" w:w="1728"/>
          </w:tcPr>
          <w:p>
            <w:r>
              <w:rPr>
                <w:rFonts w:ascii="Calibri" w:hAnsi="Calibri"/>
                <w:sz w:val="22"/>
              </w:rPr>
              <w:t>Reaffirmed; 53rd week adds ~4% uplift on top</w:t>
            </w:r>
          </w:p>
        </w:tc>
      </w:tr>
      <w:tr>
        <w:tc>
          <w:tcPr>
            <w:tcW w:type="dxa" w:w="1728"/>
          </w:tcPr>
          <w:p>
            <w:r>
              <w:rPr>
                <w:rFonts w:ascii="Calibri" w:hAnsi="Calibri"/>
                <w:sz w:val="22"/>
              </w:rPr>
              <w:t>FY2027 Adjusted EPS Growth</w:t>
            </w:r>
          </w:p>
        </w:tc>
        <w:tc>
          <w:tcPr>
            <w:tcW w:type="dxa" w:w="1728"/>
          </w:tcPr>
          <w:p>
            <w:r>
              <w:rPr>
                <w:rFonts w:ascii="Calibri" w:hAnsi="Calibri"/>
                <w:sz w:val="22"/>
              </w:rPr>
              <w:t>Double-digit (ex-53rd week)</w:t>
            </w:r>
          </w:p>
        </w:tc>
        <w:tc>
          <w:tcPr>
            <w:tcW w:type="dxa" w:w="1728"/>
          </w:tcPr>
          <w:p>
            <w:r>
              <w:rPr>
                <w:rFonts w:ascii="Calibri" w:hAnsi="Calibri"/>
                <w:sz w:val="22"/>
              </w:rPr>
              <w:t>—</w:t>
            </w:r>
          </w:p>
        </w:tc>
        <w:tc>
          <w:tcPr>
            <w:tcW w:type="dxa" w:w="1728"/>
          </w:tcPr>
          <w:p>
            <w:r>
              <w:rPr>
                <w:rFonts w:ascii="Calibri" w:hAnsi="Calibri"/>
                <w:sz w:val="22"/>
              </w:rPr>
              <w:t>$7.45</w:t>
            </w:r>
          </w:p>
        </w:tc>
        <w:tc>
          <w:tcPr>
            <w:tcW w:type="dxa" w:w="1728"/>
          </w:tcPr>
          <w:p>
            <w:r>
              <w:rPr>
                <w:rFonts w:ascii="Calibri" w:hAnsi="Calibri"/>
                <w:sz w:val="22"/>
              </w:rPr>
              <w:t>First-time FY2027 guide introduced at Q2 call; extends compounder thesis</w:t>
            </w:r>
          </w:p>
        </w:tc>
      </w:tr>
      <w:tr>
        <w:tc>
          <w:tcPr>
            <w:tcW w:type="dxa" w:w="1728"/>
          </w:tcPr>
          <w:p>
            <w:r>
              <w:rPr>
                <w:rFonts w:ascii="Calibri" w:hAnsi="Calibri"/>
                <w:sz w:val="22"/>
              </w:rPr>
              <w:t>Sports OI (FY2026)</w:t>
            </w:r>
          </w:p>
        </w:tc>
        <w:tc>
          <w:tcPr>
            <w:tcW w:type="dxa" w:w="1728"/>
          </w:tcPr>
          <w:p>
            <w:r>
              <w:rPr>
                <w:rFonts w:ascii="Calibri" w:hAnsi="Calibri"/>
                <w:sz w:val="22"/>
              </w:rPr>
              <w:t>Mid-single-digit growth (incl. NFL Network)</w:t>
            </w:r>
          </w:p>
        </w:tc>
        <w:tc>
          <w:tcPr>
            <w:tcW w:type="dxa" w:w="1728"/>
          </w:tcPr>
          <w:p>
            <w:r>
              <w:rPr>
                <w:rFonts w:ascii="Calibri" w:hAnsi="Calibri"/>
                <w:sz w:val="22"/>
              </w:rPr>
              <w:t>—</w:t>
            </w:r>
          </w:p>
        </w:tc>
        <w:tc>
          <w:tcPr>
            <w:tcW w:type="dxa" w:w="1728"/>
          </w:tcPr>
          <w:p>
            <w:r>
              <w:rPr>
                <w:rFonts w:ascii="Calibri" w:hAnsi="Calibri"/>
                <w:sz w:val="22"/>
              </w:rPr>
              <w:t>$3.05B</w:t>
            </w:r>
          </w:p>
        </w:tc>
        <w:tc>
          <w:tcPr>
            <w:tcW w:type="dxa" w:w="1728"/>
          </w:tcPr>
          <w:p>
            <w:r>
              <w:rPr>
                <w:rFonts w:ascii="Calibri" w:hAnsi="Calibri"/>
                <w:sz w:val="22"/>
              </w:rPr>
              <w:t>Changed from “low-single-digit” to “mid-single-digit” to incorporate NFL Network acquisition</w:t>
            </w:r>
          </w:p>
        </w:tc>
      </w:tr>
      <w:tr>
        <w:tc>
          <w:tcPr>
            <w:tcW w:type="dxa" w:w="1728"/>
          </w:tcPr>
          <w:p>
            <w:r>
              <w:rPr>
                <w:rFonts w:ascii="Calibri" w:hAnsi="Calibri"/>
                <w:sz w:val="22"/>
              </w:rPr>
              <w:t>SVOD Revenue Growth</w:t>
            </w:r>
          </w:p>
        </w:tc>
        <w:tc>
          <w:tcPr>
            <w:tcW w:type="dxa" w:w="1728"/>
          </w:tcPr>
          <w:p>
            <w:r>
              <w:rPr>
                <w:rFonts w:ascii="Calibri" w:hAnsi="Calibri"/>
                <w:sz w:val="22"/>
              </w:rPr>
              <w:t>Double-digit aspiration; margins sustained</w:t>
            </w:r>
          </w:p>
        </w:tc>
        <w:tc>
          <w:tcPr>
            <w:tcW w:type="dxa" w:w="1728"/>
          </w:tcPr>
          <w:p>
            <w:r>
              <w:rPr>
                <w:rFonts w:ascii="Calibri" w:hAnsi="Calibri"/>
                <w:sz w:val="22"/>
              </w:rPr>
              <w:t>—</w:t>
            </w:r>
          </w:p>
        </w:tc>
        <w:tc>
          <w:tcPr>
            <w:tcW w:type="dxa" w:w="1728"/>
          </w:tcPr>
          <w:p>
            <w:r>
              <w:rPr>
                <w:rFonts w:ascii="Calibri" w:hAnsi="Calibri"/>
                <w:sz w:val="22"/>
              </w:rPr>
              <w:t>$2.40B FY OI</w:t>
            </w:r>
          </w:p>
        </w:tc>
        <w:tc>
          <w:tcPr>
            <w:tcW w:type="dxa" w:w="1728"/>
          </w:tcPr>
          <w:p>
            <w:r>
              <w:rPr>
                <w:rFonts w:ascii="Calibri" w:hAnsi="Calibri"/>
                <w:sz w:val="22"/>
              </w:rPr>
              <w:t>Achieved double-digit margins in Q2; focus now on sustaining and growing</w:t>
            </w:r>
          </w:p>
        </w:tc>
      </w:tr>
      <w:tr>
        <w:tc>
          <w:tcPr>
            <w:tcW w:type="dxa" w:w="1728"/>
          </w:tcPr>
          <w:p>
            <w:r>
              <w:rPr>
                <w:rFonts w:ascii="Calibri" w:hAnsi="Calibri"/>
                <w:sz w:val="22"/>
              </w:rPr>
              <w:t>Experiences OI (FY2026)</w:t>
            </w:r>
          </w:p>
        </w:tc>
        <w:tc>
          <w:tcPr>
            <w:tcW w:type="dxa" w:w="1728"/>
          </w:tcPr>
          <w:p>
            <w:r>
              <w:rPr>
                <w:rFonts w:ascii="Calibri" w:hAnsi="Calibri"/>
                <w:sz w:val="22"/>
              </w:rPr>
              <w:t>High-single-digit growth</w:t>
            </w:r>
          </w:p>
        </w:tc>
        <w:tc>
          <w:tcPr>
            <w:tcW w:type="dxa" w:w="1728"/>
          </w:tcPr>
          <w:p>
            <w:r>
              <w:rPr>
                <w:rFonts w:ascii="Calibri" w:hAnsi="Calibri"/>
                <w:sz w:val="22"/>
              </w:rPr>
              <w:t>—</w:t>
            </w:r>
          </w:p>
        </w:tc>
        <w:tc>
          <w:tcPr>
            <w:tcW w:type="dxa" w:w="1728"/>
          </w:tcPr>
          <w:p>
            <w:r>
              <w:rPr>
                <w:rFonts w:ascii="Calibri" w:hAnsi="Calibri"/>
                <w:sz w:val="22"/>
              </w:rPr>
              <w:t>$11.02B</w:t>
            </w:r>
          </w:p>
        </w:tc>
        <w:tc>
          <w:tcPr>
            <w:tcW w:type="dxa" w:w="1728"/>
          </w:tcPr>
          <w:p>
            <w:r>
              <w:rPr>
                <w:rFonts w:ascii="Calibri" w:hAnsi="Calibri"/>
                <w:sz w:val="22"/>
              </w:rPr>
              <w:t>Back-half weighted; preopening costs (World of Frozen, Adventure) not recurring in H2</w:t>
            </w:r>
          </w:p>
        </w:tc>
      </w:tr>
      <w:tr>
        <w:tc>
          <w:tcPr>
            <w:tcW w:type="dxa" w:w="1728"/>
          </w:tcPr>
          <w:p>
            <w:r>
              <w:rPr>
                <w:rFonts w:ascii="Calibri" w:hAnsi="Calibri"/>
                <w:sz w:val="22"/>
              </w:rPr>
              <w:t>Share Repurchase (FY2026)</w:t>
            </w:r>
          </w:p>
        </w:tc>
        <w:tc>
          <w:tcPr>
            <w:tcW w:type="dxa" w:w="1728"/>
          </w:tcPr>
          <w:p>
            <w:r>
              <w:rPr>
                <w:rFonts w:ascii="Calibri" w:hAnsi="Calibri"/>
                <w:sz w:val="22"/>
              </w:rPr>
              <w:t>At least $8B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from prior $7B target at Q2 call; signals management confidence in FCF</w:t>
            </w:r>
          </w:p>
        </w:tc>
      </w:tr>
      <w:tr>
        <w:tc>
          <w:tcPr>
            <w:tcW w:type="dxa" w:w="1728"/>
          </w:tcPr>
          <w:p>
            <w:r>
              <w:rPr>
                <w:rFonts w:ascii="Calibri" w:hAnsi="Calibri"/>
                <w:sz w:val="22"/>
              </w:rPr>
              <w:t>Content Spend (FY2026)</w:t>
            </w:r>
          </w:p>
        </w:tc>
        <w:tc>
          <w:tcPr>
            <w:tcW w:type="dxa" w:w="1728"/>
          </w:tcPr>
          <w:p>
            <w:r>
              <w:rPr>
                <w:rFonts w:ascii="Calibri" w:hAnsi="Calibri"/>
                <w:sz w:val="22"/>
              </w:rPr>
              <w:t>~$24B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Stable; mix shifting toward international where subscriber growth opportunity is greatest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Estimates for Q3 FY2026 have been essentially flat since the Q2 print, suggesting the Street has taken management's guidance at face value with minimal revision activity. FY2026 estimates are similarly stable, consistent with management's reaffirmed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11, 2026 — 5 days post Q2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Adj. EPS — Q3 FY2026</w:t>
            </w:r>
          </w:p>
        </w:tc>
        <w:tc>
          <w:tcPr>
            <w:tcW w:type="dxa" w:w="1080"/>
          </w:tcPr>
          <w:p>
            <w:r>
              <w:rPr>
                <w:rFonts w:ascii="Calibri" w:hAnsi="Calibri"/>
                <w:sz w:val="22"/>
              </w:rPr>
              <w:t>$1.87</w:t>
            </w:r>
          </w:p>
        </w:tc>
        <w:tc>
          <w:tcPr>
            <w:tcW w:type="dxa" w:w="1080"/>
          </w:tcPr>
          <w:p>
            <w:r>
              <w:rPr>
                <w:rFonts w:ascii="Calibri" w:hAnsi="Calibri"/>
                <w:sz w:val="22"/>
              </w:rPr>
              <w:t>$1.84</w:t>
            </w:r>
          </w:p>
        </w:tc>
        <w:tc>
          <w:tcPr>
            <w:tcW w:type="dxa" w:w="1080"/>
          </w:tcPr>
          <w:p>
            <w:r>
              <w:rPr>
                <w:rFonts w:ascii="Calibri" w:hAnsi="Calibri"/>
                <w:b/>
                <w:color w:val="E5484D"/>
                <w:sz w:val="22"/>
              </w:rPr>
              <w:t>-1.6%</w:t>
            </w:r>
          </w:p>
        </w:tc>
        <w:tc>
          <w:tcPr>
            <w:tcW w:type="dxa" w:w="1080"/>
          </w:tcPr>
          <w:p>
            <w:r>
              <w:rPr>
                <w:rFonts w:ascii="Calibri" w:hAnsi="Calibri"/>
                <w:sz w:val="22"/>
              </w:rPr>
              <w:t>N/A (no specific Q3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Q3 FY2026</w:t>
            </w:r>
          </w:p>
        </w:tc>
        <w:tc>
          <w:tcPr>
            <w:tcW w:type="dxa" w:w="1080"/>
          </w:tcPr>
          <w:p>
            <w:r>
              <w:rPr>
                <w:rFonts w:ascii="Calibri" w:hAnsi="Calibri"/>
                <w:sz w:val="22"/>
              </w:rPr>
              <w:t>$25.46B</w:t>
            </w:r>
          </w:p>
        </w:tc>
        <w:tc>
          <w:tcPr>
            <w:tcW w:type="dxa" w:w="1080"/>
          </w:tcPr>
          <w:p>
            <w:r>
              <w:rPr>
                <w:rFonts w:ascii="Calibri" w:hAnsi="Calibri"/>
                <w:sz w:val="22"/>
              </w:rPr>
              <w:t>$25.41B</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SVOD OI — Q3 FY2026</w:t>
            </w:r>
          </w:p>
        </w:tc>
        <w:tc>
          <w:tcPr>
            <w:tcW w:type="dxa" w:w="1080"/>
          </w:tcPr>
          <w:p>
            <w:r>
              <w:rPr>
                <w:rFonts w:ascii="Calibri" w:hAnsi="Calibri"/>
                <w:sz w:val="22"/>
              </w:rPr>
              <w:t>$635M</w:t>
            </w:r>
          </w:p>
        </w:tc>
        <w:tc>
          <w:tcPr>
            <w:tcW w:type="dxa" w:w="1080"/>
          </w:tcPr>
          <w:p>
            <w:r>
              <w:rPr>
                <w:rFonts w:ascii="Calibri" w:hAnsi="Calibri"/>
                <w:sz w:val="22"/>
              </w:rPr>
              <w:t>$627M</w:t>
            </w:r>
          </w:p>
        </w:tc>
        <w:tc>
          <w:tcPr>
            <w:tcW w:type="dxa" w:w="1080"/>
          </w:tcPr>
          <w:p>
            <w:r>
              <w:rPr>
                <w:rFonts w:ascii="Calibri" w:hAnsi="Calibri"/>
                <w:sz w:val="22"/>
              </w:rPr>
              <w:t>-1.3%</w:t>
            </w:r>
          </w:p>
        </w:tc>
        <w:tc>
          <w:tcPr>
            <w:tcW w:type="dxa" w:w="1080"/>
          </w:tcPr>
          <w:p>
            <w:r>
              <w:rPr>
                <w:rFonts w:ascii="Calibri" w:hAnsi="Calibri"/>
                <w:sz w:val="22"/>
              </w:rPr>
              <w:t>Double-digit margin sustained</w:t>
            </w:r>
          </w:p>
        </w:tc>
        <w:tc>
          <w:tcPr>
            <w:tcW w:type="dxa" w:w="1080"/>
          </w:tcPr>
          <w:p>
            <w:r>
              <w:rPr>
                <w:rFonts w:ascii="Calibri" w:hAnsi="Calibri"/>
                <w:sz w:val="22"/>
              </w:rPr>
              <w:t>Tracking</w:t>
            </w:r>
          </w:p>
        </w:tc>
        <w:tc>
          <w:tcPr>
            <w:tcW w:type="dxa" w:w="1080"/>
          </w:tcPr>
          <w:p>
            <w:r>
              <w:rPr>
                <w:rFonts w:ascii="Calibri" w:hAnsi="Calibri"/>
                <w:sz w:val="22"/>
              </w:rPr>
              <w:t>Stable</w:t>
            </w:r>
          </w:p>
        </w:tc>
        <w:tc>
          <w:tcPr>
            <w:tcW w:type="dxa" w:w="1080"/>
          </w:tcPr>
          <w:p>
            <w:r>
              <w:rPr>
                <w:rFonts w:ascii="Calibri" w:hAnsi="Calibri"/>
                <w:sz w:val="22"/>
              </w:rPr>
              <w:t>Tracking</w:t>
            </w:r>
          </w:p>
        </w:tc>
      </w:tr>
      <w:tr>
        <w:tc>
          <w:tcPr>
            <w:tcW w:type="dxa" w:w="1080"/>
          </w:tcPr>
          <w:p>
            <w:r>
              <w:rPr>
                <w:rFonts w:ascii="Calibri" w:hAnsi="Calibri"/>
                <w:sz w:val="22"/>
              </w:rPr>
              <w:t>Experiences OI — Q3 FY2026</w:t>
            </w:r>
          </w:p>
        </w:tc>
        <w:tc>
          <w:tcPr>
            <w:tcW w:type="dxa" w:w="1080"/>
          </w:tcPr>
          <w:p>
            <w:r>
              <w:rPr>
                <w:rFonts w:ascii="Calibri" w:hAnsi="Calibri"/>
                <w:sz w:val="22"/>
              </w:rPr>
              <w:t>$2.831B</w:t>
            </w:r>
          </w:p>
        </w:tc>
        <w:tc>
          <w:tcPr>
            <w:tcW w:type="dxa" w:w="1080"/>
          </w:tcPr>
          <w:p>
            <w:r>
              <w:rPr>
                <w:rFonts w:ascii="Calibri" w:hAnsi="Calibri"/>
                <w:sz w:val="22"/>
              </w:rPr>
              <w:t>$2.789B</w:t>
            </w:r>
          </w:p>
        </w:tc>
        <w:tc>
          <w:tcPr>
            <w:tcW w:type="dxa" w:w="1080"/>
          </w:tcPr>
          <w:p>
            <w:r>
              <w:rPr>
                <w:rFonts w:ascii="Calibri" w:hAnsi="Calibri"/>
                <w:sz w:val="22"/>
              </w:rPr>
              <w:t>-1.5%</w:t>
            </w:r>
          </w:p>
        </w:tc>
        <w:tc>
          <w:tcPr>
            <w:tcW w:type="dxa" w:w="1080"/>
          </w:tcPr>
          <w:p>
            <w:r>
              <w:rPr>
                <w:rFonts w:ascii="Calibri" w:hAnsi="Calibri"/>
                <w:sz w:val="22"/>
              </w:rPr>
              <w:t>High-single-digit FY growth</w:t>
            </w:r>
          </w:p>
        </w:tc>
        <w:tc>
          <w:tcPr>
            <w:tcW w:type="dxa" w:w="1080"/>
          </w:tcPr>
          <w:p>
            <w:r>
              <w:rPr>
                <w:rFonts w:ascii="Calibri" w:hAnsi="Calibri"/>
                <w:sz w:val="22"/>
              </w:rPr>
              <w:t>Tracking</w:t>
            </w:r>
          </w:p>
        </w:tc>
        <w:tc>
          <w:tcPr>
            <w:tcW w:type="dxa" w:w="1080"/>
          </w:tcPr>
          <w:p>
            <w:r>
              <w:rPr>
                <w:rFonts w:ascii="Calibri" w:hAnsi="Calibri"/>
                <w:sz w:val="22"/>
              </w:rPr>
              <w:t>Stable</w:t>
            </w:r>
          </w:p>
        </w:tc>
        <w:tc>
          <w:tcPr>
            <w:tcW w:type="dxa" w:w="1080"/>
          </w:tcPr>
          <w:p>
            <w:r>
              <w:rPr>
                <w:rFonts w:ascii="Calibri" w:hAnsi="Calibri"/>
                <w:sz w:val="22"/>
              </w:rPr>
              <w:t>Tracking</w:t>
            </w:r>
          </w:p>
        </w:tc>
      </w:tr>
      <w:tr>
        <w:tc>
          <w:tcPr>
            <w:tcW w:type="dxa" w:w="1080"/>
          </w:tcPr>
          <w:p>
            <w:r>
              <w:rPr>
                <w:rFonts w:ascii="Calibri" w:hAnsi="Calibri"/>
                <w:sz w:val="22"/>
              </w:rPr>
              <w:t>Adj. EPS — FY2026</w:t>
            </w:r>
          </w:p>
        </w:tc>
        <w:tc>
          <w:tcPr>
            <w:tcW w:type="dxa" w:w="1080"/>
          </w:tcPr>
          <w:p>
            <w:r>
              <w:rPr>
                <w:rFonts w:ascii="Calibri" w:hAnsi="Calibri"/>
                <w:sz w:val="22"/>
              </w:rPr>
              <w:t>$6.84</w:t>
            </w:r>
          </w:p>
        </w:tc>
        <w:tc>
          <w:tcPr>
            <w:tcW w:type="dxa" w:w="1080"/>
          </w:tcPr>
          <w:p>
            <w:r>
              <w:rPr>
                <w:rFonts w:ascii="Calibri" w:hAnsi="Calibri"/>
                <w:sz w:val="22"/>
              </w:rPr>
              <w:t>$6.81</w:t>
            </w:r>
          </w:p>
        </w:tc>
        <w:tc>
          <w:tcPr>
            <w:tcW w:type="dxa" w:w="1080"/>
          </w:tcPr>
          <w:p>
            <w:r>
              <w:rPr>
                <w:rFonts w:ascii="Calibri" w:hAnsi="Calibri"/>
                <w:sz w:val="22"/>
              </w:rPr>
              <w:t>-0.4%</w:t>
            </w:r>
          </w:p>
        </w:tc>
        <w:tc>
          <w:tcPr>
            <w:tcW w:type="dxa" w:w="1080"/>
          </w:tcPr>
          <w:p>
            <w:r>
              <w:rPr>
                <w:rFonts w:ascii="Calibri" w:hAnsi="Calibri"/>
                <w:sz w:val="22"/>
              </w:rPr>
              <w:t>~12% growth ex-53rd wk</w:t>
            </w:r>
          </w:p>
        </w:tc>
        <w:tc>
          <w:tcPr>
            <w:tcW w:type="dxa" w:w="1080"/>
          </w:tcPr>
          <w:p>
            <w:r>
              <w:rPr>
                <w:rFonts w:ascii="Calibri" w:hAnsi="Calibri"/>
                <w:sz w:val="22"/>
              </w:rPr>
              <w:t>Reaffirmed</w:t>
            </w:r>
          </w:p>
        </w:tc>
        <w:tc>
          <w:tcPr>
            <w:tcW w:type="dxa" w:w="1080"/>
          </w:tcPr>
          <w:p>
            <w:r>
              <w:rPr>
                <w:rFonts w:ascii="Calibri" w:hAnsi="Calibri"/>
                <w:sz w:val="22"/>
              </w:rPr>
              <w:t>Stable</w:t>
            </w:r>
          </w:p>
        </w:tc>
        <w:tc>
          <w:tcPr>
            <w:tcW w:type="dxa" w:w="1080"/>
          </w:tcPr>
          <w:p>
            <w:r>
              <w:rPr>
                <w:rFonts w:ascii="Calibri" w:hAnsi="Calibri"/>
                <w:sz w:val="22"/>
              </w:rPr>
              <w:t>Tracking</w:t>
            </w:r>
          </w:p>
        </w:tc>
      </w:tr>
      <w:tr>
        <w:tc>
          <w:tcPr>
            <w:tcW w:type="dxa" w:w="1080"/>
          </w:tcPr>
          <w:p>
            <w:r>
              <w:rPr>
                <w:rFonts w:ascii="Calibri" w:hAnsi="Calibri"/>
                <w:sz w:val="22"/>
              </w:rPr>
              <w:t>Total Revenue — FY2026</w:t>
            </w:r>
          </w:p>
        </w:tc>
        <w:tc>
          <w:tcPr>
            <w:tcW w:type="dxa" w:w="1080"/>
          </w:tcPr>
          <w:p>
            <w:r>
              <w:rPr>
                <w:rFonts w:ascii="Calibri" w:hAnsi="Calibri"/>
                <w:sz w:val="22"/>
              </w:rPr>
              <w:t>$102.13B</w:t>
            </w:r>
          </w:p>
        </w:tc>
        <w:tc>
          <w:tcPr>
            <w:tcW w:type="dxa" w:w="1080"/>
          </w:tcPr>
          <w:p>
            <w:r>
              <w:rPr>
                <w:rFonts w:ascii="Calibri" w:hAnsi="Calibri"/>
                <w:sz w:val="22"/>
              </w:rPr>
              <w:t>$101.89B</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Estimates have been remarkably stable since the Q2 print, with no material revisions in either direction. This is consistent with management's clear guidance framework and suggests the Street is waiting for Q3 results to make further adjustments. The slight downward drift in Q3 EPS (-1.6%) may reflect modest conservatism around parks attendance uncertainty.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DIS has underperformed meaningfully since Q2 earnings — down </w:t>
      </w:r>
      <w:r>
        <w:rPr>
          <w:rFonts w:ascii="Calibri" w:hAnsi="Calibri"/>
          <w:b/>
          <w:color w:val="E5484D"/>
          <w:sz w:val="22"/>
        </w:rPr>
        <w:t>~9.1%</w:t>
      </w:r>
      <w:r>
        <w:rPr>
          <w:rFonts w:ascii="Calibri" w:hAnsi="Calibri"/>
          <w:b/>
          <w:color w:val="525866"/>
          <w:sz w:val="22"/>
        </w:rPr>
        <w:t xml:space="preserve"> vs. S&amp;P 500 +5.1% and XLC -4.5% — driven by </w:t>
      </w:r>
      <w:r>
        <w:rPr>
          <w:rFonts w:ascii="Calibri" w:hAnsi="Calibri"/>
          <w:b/>
          <w:color w:val="525866"/>
          <w:sz w:val="22"/>
        </w:rPr>
        <w:t>multiple compression rather than estimate cuts</w:t>
      </w:r>
      <w:r>
        <w:rPr>
          <w:rFonts w:ascii="Calibri" w:hAnsi="Calibri"/>
          <w:b/>
          <w:color w:val="525866"/>
          <w:sz w:val="22"/>
        </w:rPr>
        <w:t>, as the stock de-rated despite stable consensus. This creates a more attractive entry point heading into Q3.</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DIS vs. XLC (Communication Services ETF) vs. S&amp;P 500 (SPY) — Indexed to 100 at Q2 FY2026 Earnings (May 6, 2026). Source: Yahoo Finance.</w:t>
      </w:r>
    </w:p>
    <w:p>
      <w:r>
        <w:rPr>
          <w:rFonts w:ascii="Calibri" w:hAnsi="Calibri"/>
          <w:color w:val="525866"/>
          <w:sz w:val="22"/>
        </w:rPr>
        <w:t xml:space="preserve">DIS has been the clear laggard in the communication services space since the Q2 print. The stock initially rallied on the Q2 beat but gave back gains quickly, with the bulk of the underperformance occurring in June and July as macro concerns around consumer spending and parks demand weighed on sentiment. Notably, </w:t>
      </w:r>
      <w:r>
        <w:rPr>
          <w:rFonts w:ascii="Calibri" w:hAnsi="Calibri"/>
          <w:b/>
          <w:color w:val="525866"/>
          <w:sz w:val="22"/>
        </w:rPr>
        <w:t>estimates have barely moved (-0.4% on FY EPS)</w:t>
      </w:r>
      <w:r>
        <w:rPr>
          <w:rFonts w:ascii="Calibri" w:hAnsi="Calibri"/>
          <w:color w:val="525866"/>
          <w:sz w:val="22"/>
        </w:rPr>
        <w:t xml:space="preserve">, suggesting the selloff is multiple-driven rather than fundamental. At current levels (~$98), DIS trades at approximately </w:t>
      </w:r>
      <w:r>
        <w:rPr>
          <w:rFonts w:ascii="Calibri" w:hAnsi="Calibri"/>
          <w:b/>
          <w:color w:val="525866"/>
          <w:sz w:val="22"/>
        </w:rPr>
        <w:t>14.4x NTM EPS</w:t>
      </w:r>
      <w:r>
        <w:rPr>
          <w:rFonts w:ascii="Calibri" w:hAnsi="Calibri"/>
          <w:color w:val="525866"/>
          <w:sz w:val="22"/>
        </w:rPr>
        <w:t xml:space="preserve"> — well below its 5-year average and at a discount to media peers — implying the market is pricing in execution risk rather than giving credit for the streaming profitability inflection or the parks recovery narrative. The </w:t>
      </w:r>
      <w:r>
        <w:rPr>
          <w:rFonts w:ascii="Calibri" w:hAnsi="Calibri"/>
          <w:b/>
          <w:color w:val="525866"/>
          <w:sz w:val="22"/>
        </w:rPr>
        <w:t>53rd week benefit (~4% EPS uplift)</w:t>
      </w:r>
      <w:r>
        <w:rPr>
          <w:rFonts w:ascii="Calibri" w:hAnsi="Calibri"/>
          <w:color w:val="525866"/>
          <w:sz w:val="22"/>
        </w:rPr>
        <w:t xml:space="preserve"> is a meaningful catalyst that appears underappreciated. Sector ETF used: XLC (Communication Services Select Sector SPDR Fund), which captures Disney's primary peer group in media and entertainment.</w:t>
      </w:r>
    </w:p>
    <w:p>
      <w:pPr>
        <w:pStyle w:val="Heading2"/>
      </w:pPr>
      <w:r>
        <w:rPr>
          <w:rFonts w:ascii="Calibri" w:hAnsi="Calibri"/>
          <w:b/>
          <w:color w:val="3B4259"/>
          <w:sz w:val="28"/>
        </w:rPr>
        <w:t>6. Peer Commentaries — Read-Through for Q3 FY2026</w:t>
      </w:r>
    </w:p>
    <w:p>
      <w:r>
        <w:rPr>
          <w:rFonts w:ascii="Calibri" w:hAnsi="Calibri"/>
          <w:b/>
          <w:color w:val="525866"/>
          <w:sz w:val="22"/>
        </w:rPr>
        <w:t xml:space="preserve">Key Takeaway: </w:t>
      </w:r>
      <w:r>
        <w:rPr>
          <w:rFonts w:ascii="Calibri" w:hAnsi="Calibri"/>
          <w:b/>
          <w:color w:val="525866"/>
          <w:sz w:val="22"/>
        </w:rPr>
        <w:t xml:space="preserve">Peer commentary from the last 60 days is broadly constructive for Disney's Q3 — consumer spending on experiences remains resilient, live entertainment demand is at record levels, and hotel/leisure demand is strong in the U.S. The one nuance is </w:t>
      </w:r>
      <w:r>
        <w:rPr>
          <w:rFonts w:ascii="Calibri" w:hAnsi="Calibri"/>
          <w:b/>
          <w:color w:val="E5484D"/>
          <w:sz w:val="22"/>
        </w:rPr>
        <w:t>geopolitical softness in European/international travel</w:t>
      </w:r>
      <w:r>
        <w:rPr>
          <w:rFonts w:ascii="Calibri" w:hAnsi="Calibri"/>
          <w:b/>
          <w:color w:val="525866"/>
          <w:sz w:val="22"/>
        </w:rPr>
        <w:t>, which could weigh on Disney's international parks.</w:t>
      </w:r>
    </w:p>
    <w:p>
      <w:r>
        <w:rPr>
          <w:rFonts w:ascii="Calibri" w:hAnsi="Calibri"/>
          <w:color w:val="525866"/>
          <w:sz w:val="22"/>
        </w:rPr>
        <w:t>This section covers commentary from peers that reported in the last 60 days that is relevant to Disney's Q3 FY2026 (ending June 30, 2026) businesses. Only forward-looking commentary or commentary about the current reporting period is included.</w:t>
      </w:r>
    </w:p>
    <w:p>
      <w:pPr>
        <w:pStyle w:val="Heading3"/>
      </w:pPr>
      <w:r>
        <w:rPr>
          <w:rFonts w:ascii="Calibri" w:hAnsi="Calibri"/>
          <w:b/>
          <w:color w:val="3B4259"/>
          <w:sz w:val="24"/>
        </w:rPr>
        <w:t>6A. Experiences / Parks Read-Through</w:t>
      </w:r>
    </w:p>
    <w:p>
      <w:pPr>
        <w:pStyle w:val="ListBullet"/>
        <w:ind w:left="360" w:hanging="360"/>
      </w:pPr>
      <w:r>
        <w:rPr>
          <w:rFonts w:ascii="Calibri" w:hAnsi="Calibri"/>
          <w:b/>
          <w:color w:val="525866"/>
          <w:sz w:val="22"/>
        </w:rPr>
        <w:t>COMCAST / NBCUNIVERSAL (CMCSA) — Evercore TMT Conference, June 2, 2026:</w:t>
      </w:r>
      <w:r>
        <w:rPr>
          <w:rFonts w:ascii="Calibri" w:hAnsi="Calibri"/>
          <w:color w:val="525866"/>
          <w:sz w:val="22"/>
        </w:rPr>
        <w:t xml:space="preserve"> Matthew Strauss (Chairman, NBCUniversal Media Group) noted that Epic Universe just celebrated its 1-year anniversary and that NBCUniversal is preparing to launch a new kids theme park in Frisco, Texas. Importantly, he flagged: “we are seeing on the international side, a little bit of softness that we're keeping an eye on. We're seeing some of that domestically.” </w:t>
      </w:r>
      <w:r>
        <w:rPr>
          <w:rFonts w:ascii="Calibri" w:hAnsi="Calibri"/>
          <w:i/>
          <w:color w:val="525866"/>
          <w:sz w:val="22"/>
        </w:rPr>
        <w:t>Implication:</w:t>
      </w:r>
      <w:r>
        <w:rPr>
          <w:rFonts w:ascii="Calibri" w:hAnsi="Calibri"/>
          <w:color w:val="525866"/>
          <w:sz w:val="22"/>
        </w:rPr>
        <w:t xml:space="preserve"> Mild negative read-through for Disney's international parks; a watch item for domestic parks, though Disney's management had already guided for improving domestic attendance in Q3 as international visitation headwinds lap.</w:t>
      </w:r>
    </w:p>
    <w:p>
      <w:pPr>
        <w:pStyle w:val="ListBullet"/>
        <w:ind w:left="360" w:hanging="360"/>
      </w:pPr>
      <w:r>
        <w:rPr>
          <w:rFonts w:ascii="Calibri" w:hAnsi="Calibri"/>
          <w:b/>
          <w:color w:val="525866"/>
          <w:sz w:val="22"/>
        </w:rPr>
        <w:t>ROYAL CARIBBEAN (RCL) — Q2 FY2026 Earnings, July 28, 2026:</w:t>
      </w:r>
      <w:r>
        <w:rPr>
          <w:rFonts w:ascii="Calibri" w:hAnsi="Calibri"/>
          <w:color w:val="525866"/>
          <w:sz w:val="22"/>
        </w:rPr>
        <w:t xml:space="preserve"> Management described a “healthy experience-seeking consumer” with travel remaining “the number one leisure category where consumers intend to spend more.” Onboard spending was elevated, with increases in beverage and shore excursions. Close-in demand came in “higher than expected” and the company was able to raise pricing on close-in bookings. June and July showed “a very strong demand environment.” </w:t>
      </w:r>
      <w:r>
        <w:rPr>
          <w:rFonts w:ascii="Calibri" w:hAnsi="Calibri"/>
          <w:i/>
          <w:color w:val="525866"/>
          <w:sz w:val="22"/>
        </w:rPr>
        <w:t>Implication:</w:t>
      </w:r>
      <w:r>
        <w:rPr>
          <w:rFonts w:ascii="Calibri" w:hAnsi="Calibri"/>
          <w:b/>
          <w:color w:val="30A46C"/>
          <w:sz w:val="22"/>
        </w:rPr>
        <w:t xml:space="preserve"> Strong positive read-through for Disney's parks and cruise businesses — the consumer is spending on experiences and willing to pay premium prices.</w:t>
      </w:r>
    </w:p>
    <w:p>
      <w:pPr>
        <w:pStyle w:val="ListBullet"/>
        <w:ind w:left="360" w:hanging="360"/>
      </w:pPr>
      <w:r>
        <w:rPr>
          <w:rFonts w:ascii="Calibri" w:hAnsi="Calibri"/>
          <w:b/>
          <w:color w:val="525866"/>
          <w:sz w:val="22"/>
        </w:rPr>
        <w:t>CARNIVAL CORPORATION (CCL) — Q2 FY2026 Earnings, June 23, 2026:</w:t>
      </w:r>
      <w:r>
        <w:rPr>
          <w:rFonts w:ascii="Calibri" w:hAnsi="Calibri"/>
          <w:color w:val="525866"/>
          <w:sz w:val="22"/>
        </w:rPr>
        <w:t xml:space="preserve"> Despite “historically low consumer sentiment” during the quarter, CCL reported “resilient close-in demand and robust onboard spending” that drove yields above expectations — their 12th consecutive quarter of record yields. The booked position entering Q3 is “ahead of last year at record prices.” </w:t>
      </w:r>
      <w:r>
        <w:rPr>
          <w:rFonts w:ascii="Calibri" w:hAnsi="Calibri"/>
          <w:i/>
          <w:color w:val="525866"/>
          <w:sz w:val="22"/>
        </w:rPr>
        <w:t>Implication:</w:t>
      </w:r>
      <w:r>
        <w:rPr>
          <w:rFonts w:ascii="Calibri" w:hAnsi="Calibri"/>
          <w:b/>
          <w:color w:val="30A46C"/>
          <w:sz w:val="22"/>
        </w:rPr>
        <w:t xml:space="preserve"> Positive read-through for Disney's cruise business (Disney Adventure launched in Singapore, 40% capacity increase) — the premium experience consumer remains healthy even in a challenging macro backdrop.</w:t>
      </w:r>
    </w:p>
    <w:p>
      <w:pPr>
        <w:pStyle w:val="ListBullet"/>
        <w:ind w:left="360" w:hanging="360"/>
      </w:pPr>
      <w:r>
        <w:rPr>
          <w:rFonts w:ascii="Calibri" w:hAnsi="Calibri"/>
          <w:b/>
          <w:color w:val="525866"/>
          <w:sz w:val="22"/>
        </w:rPr>
        <w:t>NORWEGIAN CRUISE LINE (NCLH) — Q2 FY2026 Earnings, July 30, 2026:</w:t>
      </w:r>
      <w:r>
        <w:rPr>
          <w:rFonts w:ascii="Calibri" w:hAnsi="Calibri"/>
          <w:color w:val="525866"/>
          <w:sz w:val="22"/>
        </w:rPr>
        <w:t xml:space="preserve"> NCLH was the outlier — management cited self-inflicted marketing and demand generation issues, with net yields expected to decline ~8.9% in Q3. However, they explicitly noted that “demand for cruise and the long-term fundamentals for the industry remain strong as consumers are prioritizing travel and experiences” and that the macro environment is “very productive for cruise demand.” </w:t>
      </w:r>
      <w:r>
        <w:rPr>
          <w:rFonts w:ascii="Calibri" w:hAnsi="Calibri"/>
          <w:i/>
          <w:color w:val="525866"/>
          <w:sz w:val="22"/>
        </w:rPr>
        <w:t>Implication:</w:t>
      </w:r>
      <w:r>
        <w:rPr>
          <w:rFonts w:ascii="Calibri" w:hAnsi="Calibri"/>
          <w:color w:val="525866"/>
          <w:sz w:val="22"/>
        </w:rPr>
        <w:t xml:space="preserve"> NCLH issues appear company-specific rather than industry-wide, limiting the negative read-through for Disney.</w:t>
      </w:r>
    </w:p>
    <w:p>
      <w:pPr>
        <w:pStyle w:val="ListBullet"/>
        <w:ind w:left="360" w:hanging="360"/>
      </w:pPr>
      <w:r>
        <w:rPr>
          <w:rFonts w:ascii="Calibri" w:hAnsi="Calibri"/>
          <w:b/>
          <w:color w:val="525866"/>
          <w:sz w:val="22"/>
        </w:rPr>
        <w:t>MARRIOTT (MAR) — Q2 FY2026 Earnings, August 3, 2026:</w:t>
      </w:r>
      <w:r>
        <w:rPr>
          <w:rFonts w:ascii="Calibri" w:hAnsi="Calibri"/>
          <w:color w:val="525866"/>
          <w:sz w:val="22"/>
        </w:rPr>
        <w:t xml:space="preserve"> MAR raised its full-year 2026 global RevPAR guidance to 3-3.5% growth, citing “strong, broad-based demand.” U.S. and Canada RevPAR rose 5% in Q2 — the highest quarterly increase in 13 quarters — with luxury RevPAR up over 9%. Leisure revenues in the U.S. and Canada rose 7% in Q2. Management is “quite bullish on the global outlook” for 2027. </w:t>
      </w:r>
      <w:r>
        <w:rPr>
          <w:rFonts w:ascii="Calibri" w:hAnsi="Calibri"/>
          <w:i/>
          <w:color w:val="525866"/>
          <w:sz w:val="22"/>
        </w:rPr>
        <w:t>Implication:</w:t>
      </w:r>
      <w:r>
        <w:rPr>
          <w:rFonts w:ascii="Calibri" w:hAnsi="Calibri"/>
          <w:b/>
          <w:color w:val="30A46C"/>
          <w:sz w:val="22"/>
        </w:rPr>
        <w:t xml:space="preserve"> Strong positive read-through for Disney's domestic parks and resort hotels — the U.S. leisure consumer is spending at an accelerating rate, and luxury/resort demand is particularly robust.</w:t>
      </w:r>
    </w:p>
    <w:p>
      <w:pPr>
        <w:pStyle w:val="ListBullet"/>
        <w:ind w:left="360" w:hanging="360"/>
      </w:pPr>
      <w:r>
        <w:rPr>
          <w:rFonts w:ascii="Calibri" w:hAnsi="Calibri"/>
          <w:b/>
          <w:color w:val="525866"/>
          <w:sz w:val="22"/>
        </w:rPr>
        <w:t>HYATT (H) — Morgan Stanley Travel &amp; Leisure Conference, June 2, 2026:</w:t>
      </w:r>
      <w:r>
        <w:rPr>
          <w:rFonts w:ascii="Calibri" w:hAnsi="Calibri"/>
          <w:color w:val="525866"/>
          <w:sz w:val="22"/>
        </w:rPr>
        <w:t xml:space="preserve"> CFO Joan Bottarini noted results were “better than anticipated or forecasted in April and even into May.” CEO Mark Hoplamazian highlighted that Hyatt serves a “higher income household” and that leisure now constitutes “more than 50% of our revenue base,” which he described as “durable.” He stated: “we believe that phenomenon is a durable, reliable reality for us no matter what happens in the rest of the economy.” </w:t>
      </w:r>
      <w:r>
        <w:rPr>
          <w:rFonts w:ascii="Calibri" w:hAnsi="Calibri"/>
          <w:i/>
          <w:color w:val="525866"/>
          <w:sz w:val="22"/>
        </w:rPr>
        <w:t>Implication:</w:t>
      </w:r>
      <w:r>
        <w:rPr>
          <w:rFonts w:ascii="Calibri" w:hAnsi="Calibri"/>
          <w:b/>
          <w:color w:val="30A46C"/>
          <w:sz w:val="22"/>
        </w:rPr>
        <w:t xml:space="preserve"> Positive read-through for Disney's parks — the higher-income leisure consumer (Disney's core demographic) is showing durable demand.</w:t>
      </w:r>
    </w:p>
    <w:p>
      <w:pPr>
        <w:pStyle w:val="Heading3"/>
      </w:pPr>
      <w:r>
        <w:rPr>
          <w:rFonts w:ascii="Calibri" w:hAnsi="Calibri"/>
          <w:b/>
          <w:color w:val="3B4259"/>
          <w:sz w:val="24"/>
        </w:rPr>
        <w:t>6B. Streaming / Entertainment Read-Through</w:t>
      </w:r>
    </w:p>
    <w:p>
      <w:pPr>
        <w:pStyle w:val="ListBullet"/>
        <w:ind w:left="360" w:hanging="360"/>
      </w:pPr>
      <w:r>
        <w:rPr>
          <w:rFonts w:ascii="Calibri" w:hAnsi="Calibri"/>
          <w:b/>
          <w:color w:val="525866"/>
          <w:sz w:val="22"/>
        </w:rPr>
        <w:t>NETFLIX (NFLX) — Q2 FY2026 Earnings, July 16, 2026:</w:t>
      </w:r>
      <w:r>
        <w:rPr>
          <w:rFonts w:ascii="Calibri" w:hAnsi="Calibri"/>
          <w:color w:val="525866"/>
          <w:sz w:val="22"/>
        </w:rPr>
        <w:t xml:space="preserve"> Netflix reported strong results, tracking to 13-14% full-year revenue growth. Management highlighted “healthy acquisition and retention trends” and noted that recent price adjustments are “going well.” Netflix is expanding into live content (MLB Home Run Derby, Kevin Hart roast), video podcasting, and gaming — all areas where Disney+ is also investing. Netflix's commentary on live content driving “disproportionate signups” is particularly relevant for Disney's ESPN DTC strategy. </w:t>
      </w:r>
      <w:r>
        <w:rPr>
          <w:rFonts w:ascii="Calibri" w:hAnsi="Calibri"/>
          <w:i/>
          <w:color w:val="525866"/>
          <w:sz w:val="22"/>
        </w:rPr>
        <w:t>Implication:</w:t>
      </w:r>
      <w:r>
        <w:rPr>
          <w:rFonts w:ascii="Calibri" w:hAnsi="Calibri"/>
          <w:b/>
          <w:color w:val="30A46C"/>
          <w:sz w:val="22"/>
        </w:rPr>
        <w:t xml:space="preserve"> The strong Netflix print validates the broader streaming monetization thesis and suggests the ad-supported tier model is working across the industry.</w:t>
      </w:r>
    </w:p>
    <w:p>
      <w:pPr>
        <w:pStyle w:val="ListBullet"/>
        <w:ind w:left="360" w:hanging="360"/>
      </w:pPr>
      <w:r>
        <w:rPr>
          <w:rFonts w:ascii="Calibri" w:hAnsi="Calibri"/>
          <w:b/>
          <w:color w:val="525866"/>
          <w:sz w:val="22"/>
        </w:rPr>
        <w:t>COMCAST / NBCUNIVERSAL (CMCSA) — Evercore TMT Conference, June 2, 2026:</w:t>
      </w:r>
      <w:r>
        <w:rPr>
          <w:rFonts w:ascii="Calibri" w:hAnsi="Calibri"/>
          <w:color w:val="525866"/>
          <w:sz w:val="22"/>
        </w:rPr>
        <w:t xml:space="preserve"> Peacock reached 46 million paid subscribers (80% on the ad tier) and is “pacing to profitability in Q2.” Strauss noted that “consumers are subscribing to more and more streaming services” (average of 4-5 services) and that “the market would gravitate towards bundling.” He also observed a “renaissance in live viewing” with NBA playoff ratings at “the highest in decades.” </w:t>
      </w:r>
      <w:r>
        <w:rPr>
          <w:rFonts w:ascii="Calibri" w:hAnsi="Calibri"/>
          <w:i/>
          <w:color w:val="525866"/>
          <w:sz w:val="22"/>
        </w:rPr>
        <w:t>Implication:</w:t>
      </w:r>
      <w:r>
        <w:rPr>
          <w:rFonts w:ascii="Calibri" w:hAnsi="Calibri"/>
          <w:b/>
          <w:color w:val="30A46C"/>
          <w:sz w:val="22"/>
        </w:rPr>
        <w:t xml:space="preserve"> Positive read-through for Disney's streaming bundle strategy (Disney+/Hulu/ESPN) and ESPN's live sports positioning. Bundling tailwinds validate Disney's multi-service strategy.</w:t>
      </w:r>
    </w:p>
    <w:p>
      <w:pPr>
        <w:pStyle w:val="Heading3"/>
      </w:pPr>
      <w:r>
        <w:rPr>
          <w:rFonts w:ascii="Calibri" w:hAnsi="Calibri"/>
          <w:b/>
          <w:color w:val="3B4259"/>
          <w:sz w:val="24"/>
        </w:rPr>
        <w:t>6C. Advertising Read-Through</w:t>
      </w:r>
    </w:p>
    <w:p>
      <w:pPr>
        <w:pStyle w:val="ListBullet"/>
        <w:ind w:left="360" w:hanging="360"/>
      </w:pPr>
      <w:r>
        <w:rPr>
          <w:rFonts w:ascii="Calibri" w:hAnsi="Calibri"/>
          <w:b/>
          <w:color w:val="525866"/>
          <w:sz w:val="22"/>
        </w:rPr>
        <w:t>NETFLIX (NFLX) — Q2 FY2026 Earnings, July 16, 2026:</w:t>
      </w:r>
      <w:r>
        <w:rPr>
          <w:rFonts w:ascii="Calibri" w:hAnsi="Calibri"/>
          <w:color w:val="525866"/>
          <w:sz w:val="22"/>
        </w:rPr>
        <w:t xml:space="preserve"> Netflix noted that the gap between ad-supported and ad-free ARPU is “narrowing” as they expand demand sources and improve their ad tech stack. They highlighted “increased fill rates” and “strong advertiser demand.” </w:t>
      </w:r>
      <w:r>
        <w:rPr>
          <w:rFonts w:ascii="Calibri" w:hAnsi="Calibri"/>
          <w:i/>
          <w:color w:val="525866"/>
          <w:sz w:val="22"/>
        </w:rPr>
        <w:t>Implication:</w:t>
      </w:r>
      <w:r>
        <w:rPr>
          <w:rFonts w:ascii="Calibri" w:hAnsi="Calibri"/>
          <w:b/>
          <w:color w:val="30A46C"/>
          <w:sz w:val="22"/>
        </w:rPr>
        <w:t xml:space="preserve"> Positive read-through for Disney+'s ad-supported tier and Hulu's advertising business — the streaming ad market remains healthy and monetization is improving industry-wide.</w:t>
      </w:r>
    </w:p>
    <w:p>
      <w:pPr>
        <w:pStyle w:val="ListBullet"/>
        <w:ind w:left="360" w:hanging="360"/>
      </w:pPr>
      <w:r>
        <w:rPr>
          <w:rFonts w:ascii="Calibri" w:hAnsi="Calibri"/>
          <w:b/>
          <w:color w:val="525866"/>
          <w:sz w:val="22"/>
        </w:rPr>
        <w:t>COMCAST / NBCUNIVERSAL (CMCSA) — Evercore TMT Conference, June 2, 2026:</w:t>
      </w:r>
      <w:r>
        <w:rPr>
          <w:rFonts w:ascii="Calibri" w:hAnsi="Calibri"/>
          <w:color w:val="525866"/>
          <w:sz w:val="22"/>
        </w:rPr>
        <w:t xml:space="preserve"> Strauss highlighted that 80% of Peacock subscribers are on the ad tier and that the company is focused on “being more targeted and personalized” with its inventory. The dual revenue stream model (subscription + advertising) is working. </w:t>
      </w:r>
      <w:r>
        <w:rPr>
          <w:rFonts w:ascii="Calibri" w:hAnsi="Calibri"/>
          <w:i/>
          <w:color w:val="525866"/>
          <w:sz w:val="22"/>
        </w:rPr>
        <w:t>Implication:</w:t>
      </w:r>
      <w:r>
        <w:rPr>
          <w:rFonts w:ascii="Calibri" w:hAnsi="Calibri"/>
          <w:color w:val="525866"/>
          <w:sz w:val="22"/>
        </w:rPr>
        <w:t xml:space="preserve"> Validates Disney's similar strategy with Disney+ and Hulu; ad-supported streaming is becoming the industry standard.</w:t>
      </w:r>
    </w:p>
    <w:p>
      <w:pPr>
        <w:pStyle w:val="Heading3"/>
      </w:pPr>
      <w:r>
        <w:rPr>
          <w:rFonts w:ascii="Calibri" w:hAnsi="Calibri"/>
          <w:b/>
          <w:color w:val="3B4259"/>
          <w:sz w:val="24"/>
        </w:rPr>
        <w:t>6D. Live Entertainment / Sports Read-Through</w:t>
      </w:r>
    </w:p>
    <w:p>
      <w:pPr>
        <w:pStyle w:val="ListBullet"/>
        <w:ind w:left="360" w:hanging="360"/>
      </w:pPr>
      <w:r>
        <w:rPr>
          <w:rFonts w:ascii="Calibri" w:hAnsi="Calibri"/>
          <w:b/>
          <w:color w:val="525866"/>
          <w:sz w:val="22"/>
        </w:rPr>
        <w:t>LIVE NATION (LYV) — Q2 FY2026 Earnings, July 30, 2026:</w:t>
      </w:r>
      <w:r>
        <w:rPr>
          <w:rFonts w:ascii="Calibri" w:hAnsi="Calibri"/>
          <w:color w:val="525866"/>
          <w:sz w:val="22"/>
        </w:rPr>
        <w:t xml:space="preserve"> CEO Michael Rapino stated: “we've seen no consumer issues to date in terms of purchasing” and that 2026 is “going to be an absolute record year after multiple record years.” Fan count is “up over 10% across all genres, all venues and all geographies.” On-site food and beverage spending is up year-over-year. Per-cap on-site spending is “up across the board.” Premium ticket buying is “doing very well.” Rapino explicitly noted “no consumer concerns, just kind of similar to World Cup and sports.” </w:t>
      </w:r>
      <w:r>
        <w:rPr>
          <w:rFonts w:ascii="Calibri" w:hAnsi="Calibri"/>
          <w:i/>
          <w:color w:val="525866"/>
          <w:sz w:val="22"/>
        </w:rPr>
        <w:t>Implication:</w:t>
      </w:r>
      <w:r>
        <w:rPr>
          <w:rFonts w:ascii="Calibri" w:hAnsi="Calibri"/>
          <w:b/>
          <w:color w:val="30A46C"/>
          <w:sz w:val="22"/>
        </w:rPr>
        <w:t xml:space="preserve"> Strong positive read-through for Disney's parks (on-site spending) and ESPN (sports demand). The live entertainment consumer is spending freely on premium experiences.</w:t>
      </w:r>
    </w:p>
    <w:p>
      <w:pPr>
        <w:pStyle w:val="ListBullet"/>
        <w:ind w:left="360" w:hanging="360"/>
      </w:pPr>
      <w:r>
        <w:rPr>
          <w:rFonts w:ascii="Calibri" w:hAnsi="Calibri"/>
          <w:b/>
          <w:color w:val="525866"/>
          <w:sz w:val="22"/>
        </w:rPr>
        <w:t>COMCAST / NBCUNIVERSAL (CMCSA) — Evercore TMT Conference, June 2, 2026:</w:t>
      </w:r>
      <w:r>
        <w:rPr>
          <w:rFonts w:ascii="Calibri" w:hAnsi="Calibri"/>
          <w:color w:val="525866"/>
          <w:sz w:val="22"/>
        </w:rPr>
        <w:t xml:space="preserve"> Strauss highlighted a “renaissance in live viewing” — NBA Game 7 drew 16 million viewers (“the highest ratings the NBA has seen in decades”), the Super Bowl was “the most viewed live event in NBC's 100-year history,” and the Macy's Thanksgiving Day Parade achieved “the highest rating in 99 years.” He noted that “premium sports rights continue to get more expensive across the industry.” </w:t>
      </w:r>
      <w:r>
        <w:rPr>
          <w:rFonts w:ascii="Calibri" w:hAnsi="Calibri"/>
          <w:i/>
          <w:color w:val="525866"/>
          <w:sz w:val="22"/>
        </w:rPr>
        <w:t>Implication:</w:t>
      </w:r>
      <w:r>
        <w:rPr>
          <w:rFonts w:ascii="Calibri" w:hAnsi="Calibri"/>
          <w:b/>
          <w:color w:val="30A46C"/>
          <w:sz w:val="22"/>
        </w:rPr>
        <w:t xml:space="preserve"> Validates ESPN's strategic value and the NFL Network acquisition rationale. Live sports is the most durable content category in media.</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b/>
          <w:color w:val="525866"/>
          <w:sz w:val="22"/>
        </w:rPr>
        <w:t xml:space="preserve">The most material development since Q2 earnings is the </w:t>
      </w:r>
      <w:r>
        <w:rPr>
          <w:rFonts w:ascii="Calibri" w:hAnsi="Calibri"/>
          <w:b/>
          <w:color w:val="002FA7"/>
          <w:sz w:val="22"/>
        </w:rPr>
        <w:t>NFL Network acquisition closing</w:t>
      </w:r>
      <w:r>
        <w:rPr>
          <w:rFonts w:ascii="Calibri" w:hAnsi="Calibri"/>
          <w:b/>
          <w:color w:val="525866"/>
          <w:sz w:val="22"/>
        </w:rPr>
        <w:t>, which adds to Sports OI guidance and deepens Disney's sports rights portfolio. New CEO D'Amaro's “One Disney” strategic framework is also a key narrative driver heading into Q3.</w:t>
      </w:r>
    </w:p>
    <w:p>
      <w:pPr>
        <w:pStyle w:val="ListBullet"/>
        <w:ind w:left="360" w:hanging="360"/>
      </w:pPr>
      <w:r>
        <w:rPr>
          <w:rFonts w:ascii="Calibri" w:hAnsi="Calibri"/>
          <w:b/>
          <w:color w:val="525866"/>
          <w:sz w:val="22"/>
        </w:rPr>
        <w:t>May 6, 2026 — Q2 FY2026 Earnings Beat:</w:t>
      </w:r>
      <w:r>
        <w:rPr>
          <w:rFonts w:ascii="Calibri" w:hAnsi="Calibri"/>
          <w:color w:val="525866"/>
          <w:sz w:val="22"/>
        </w:rPr>
        <w:t xml:space="preserve"> DIS reported Q2 adjusted EPS of $1.57 (beat $1.49 consensus) and revenue of $25.17B (beat $24.85B). </w:t>
      </w:r>
      <w:r>
        <w:rPr>
          <w:rFonts w:ascii="Calibri" w:hAnsi="Calibri"/>
          <w:b/>
          <w:color w:val="525866"/>
          <w:sz w:val="22"/>
        </w:rPr>
        <w:t>SVOD margins crossed into double-digit territory for the first time.</w:t>
      </w:r>
      <w:r>
        <w:rPr>
          <w:rFonts w:ascii="Calibri" w:hAnsi="Calibri"/>
          <w:color w:val="525866"/>
          <w:sz w:val="22"/>
        </w:rPr>
        <w:t xml:space="preserve"> Management raised share repurchase target to at least $8B and introduced FY2027 double-digit EPS growth guidance. New CEO Josh D'Amaro's first earnings call introduced the “digital centerpiece” and “One Disney” strategic frameworks.</w:t>
      </w:r>
    </w:p>
    <w:p>
      <w:pPr>
        <w:pStyle w:val="ListBullet"/>
        <w:ind w:left="360" w:hanging="360"/>
      </w:pPr>
      <w:r>
        <w:rPr>
          <w:rFonts w:ascii="Calibri" w:hAnsi="Calibri"/>
          <w:b/>
          <w:color w:val="525866"/>
          <w:sz w:val="22"/>
        </w:rPr>
        <w:t>May 6, 2026 — FY2027 Guidance Introduced:</w:t>
      </w:r>
      <w:r>
        <w:rPr>
          <w:rFonts w:ascii="Calibri" w:hAnsi="Calibri"/>
          <w:color w:val="525866"/>
          <w:sz w:val="22"/>
        </w:rPr>
        <w:t xml:space="preserve"> Management guided for double-digit adjusted EPS growth in FY2027 (ex-53rd week), extending the multi-year earnings compounder thesis. This was the first time FY2027 guidance was provided and represents a meaningful signal of management confidence in the long-term earnings trajectory.</w:t>
      </w:r>
    </w:p>
    <w:p>
      <w:pPr>
        <w:pStyle w:val="ListBullet"/>
        <w:ind w:left="360" w:hanging="360"/>
      </w:pPr>
      <w:r>
        <w:rPr>
          <w:rFonts w:ascii="Calibri" w:hAnsi="Calibri"/>
          <w:b/>
          <w:color w:val="525866"/>
          <w:sz w:val="22"/>
        </w:rPr>
        <w:t>May 6, 2026 — NFL Network Acquisition Incorporated:</w:t>
      </w:r>
      <w:r>
        <w:rPr>
          <w:rFonts w:ascii="Calibri" w:hAnsi="Calibri"/>
          <w:color w:val="525866"/>
          <w:sz w:val="22"/>
        </w:rPr>
        <w:t xml:space="preserve"> Sports OI guidance revised from “low-single-digit” to “mid-single-digit” growth to incorporate the NFL Network and RedZone linear acquisition. This deepens Disney's sports rights portfolio and adds to ESPN's distribution value ahead of the upcoming NFL season.</w:t>
      </w:r>
    </w:p>
    <w:p>
      <w:pPr>
        <w:pStyle w:val="ListBullet"/>
        <w:ind w:left="360" w:hanging="360"/>
      </w:pPr>
      <w:r>
        <w:rPr>
          <w:rFonts w:ascii="Calibri" w:hAnsi="Calibri"/>
          <w:b/>
          <w:color w:val="525866"/>
          <w:sz w:val="22"/>
        </w:rPr>
        <w:t>May 6, 2026 — Capital-Light International Expansion Formalized:</w:t>
      </w:r>
      <w:r>
        <w:rPr>
          <w:rFonts w:ascii="Calibri" w:hAnsi="Calibri"/>
          <w:color w:val="525866"/>
          <w:sz w:val="22"/>
        </w:rPr>
        <w:t xml:space="preserve"> Management formalized the capital-light international Experiences strategy — new cruise ship in Japan (through Oriental Land Company) and a theme park resort in Abu Dhabi (through Miral, which fully funds and operates). Disney earns royalties while limiting capital deployment, extending brand reach without balance sheet risk.</w:t>
      </w:r>
    </w:p>
    <w:p>
      <w:pPr>
        <w:pStyle w:val="ListBullet"/>
        <w:ind w:left="360" w:hanging="360"/>
      </w:pPr>
      <w:r>
        <w:rPr>
          <w:rFonts w:ascii="Calibri" w:hAnsi="Calibri"/>
          <w:b/>
          <w:color w:val="525866"/>
          <w:sz w:val="22"/>
        </w:rPr>
        <w:t>June 2026 — Epic Universe Lapping:</w:t>
      </w:r>
      <w:r>
        <w:rPr>
          <w:rFonts w:ascii="Calibri" w:hAnsi="Calibri"/>
          <w:color w:val="525866"/>
          <w:sz w:val="22"/>
        </w:rPr>
        <w:t xml:space="preserve"> Comcast's NBCUniversal confirmed Epic Universe celebrated its 1-year anniversary. Disney's management had guided for Epic-related headwinds to ease as they begin to lap the impact — this is now occurring in Q3 FY2026, which should support improving domestic parks attendance trends.</w:t>
      </w:r>
    </w:p>
    <w:p>
      <w:pPr>
        <w:pStyle w:val="ListBullet"/>
        <w:ind w:left="360" w:hanging="360"/>
      </w:pPr>
      <w:r>
        <w:rPr>
          <w:rFonts w:ascii="Calibri" w:hAnsi="Calibri"/>
          <w:b/>
          <w:color w:val="525866"/>
          <w:sz w:val="22"/>
        </w:rPr>
        <w:t>July 2026 — Consumer Spending Resilience Confirmed by Peers:</w:t>
      </w:r>
      <w:r>
        <w:rPr>
          <w:rFonts w:ascii="Calibri" w:hAnsi="Calibri"/>
          <w:color w:val="525866"/>
          <w:sz w:val="22"/>
        </w:rPr>
        <w:t xml:space="preserve"> Multiple peers (MAR, RCL, CCL, LYV) reported strong consumer spending on leisure and experiences through Q2 and into Q3, with no material signs of demand deterioration in the premium segment. This is constructive for Disney's parks and cruise businesses heading into Q3.</w:t>
      </w:r>
    </w:p>
    <w:p>
      <w:pPr>
        <w:pStyle w:val="ListBullet"/>
        <w:ind w:left="360" w:hanging="360"/>
      </w:pPr>
      <w:r>
        <w:rPr>
          <w:rFonts w:ascii="Calibri" w:hAnsi="Calibri"/>
          <w:b/>
          <w:color w:val="525866"/>
          <w:sz w:val="22"/>
        </w:rPr>
        <w:t>August 3, 2026 — Marriott Raises Full-Year Guidance:</w:t>
      </w:r>
      <w:r>
        <w:rPr>
          <w:rFonts w:ascii="Calibri" w:hAnsi="Calibri"/>
          <w:color w:val="525866"/>
          <w:sz w:val="22"/>
        </w:rPr>
        <w:t xml:space="preserve"> MAR raised full-year 2026 global RevPAR guidance to 3-3.5% growth, citing “strong, broad-based demand” and U.S. leisure revenues up 7% in Q2. This is the most recent and most directly relevant peer data point for Disney's domestic parks — the U.S. leisure consumer is accelerating into the summer.</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All insider activity since the Q2 print consists of routine RSU vesting and tax withholding transactions — no open-market buys or discretionary sells. Multiple directors received routine annual equity grants in late June. </w:t>
      </w:r>
      <w:r>
        <w:rPr>
          <w:rFonts w:ascii="Calibri" w:hAnsi="Calibri"/>
          <w:b/>
          <w:color w:val="525866"/>
          <w:sz w:val="22"/>
        </w:rPr>
        <w:t>There is no meaningful insider signal heading into Q3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 (Effective)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Coleman, Sonia L.</w:t>
            </w:r>
          </w:p>
        </w:tc>
        <w:tc>
          <w:tcPr>
            <w:tcW w:type="dxa" w:w="1440"/>
          </w:tcPr>
          <w:p>
            <w:r>
              <w:rPr>
                <w:rFonts w:ascii="Calibri" w:hAnsi="Calibri"/>
                <w:sz w:val="22"/>
              </w:rPr>
              <w:t>Sr. EVP &amp; Chief People Officer</w:t>
            </w:r>
          </w:p>
        </w:tc>
        <w:tc>
          <w:tcPr>
            <w:tcW w:type="dxa" w:w="1440"/>
          </w:tcPr>
          <w:p>
            <w:r>
              <w:rPr>
                <w:rFonts w:ascii="Calibri" w:hAnsi="Calibri"/>
                <w:sz w:val="22"/>
              </w:rPr>
              <w:t>RSU Vesting / Tax Withholding</w:t>
            </w:r>
          </w:p>
        </w:tc>
        <w:tc>
          <w:tcPr>
            <w:tcW w:type="dxa" w:w="1440"/>
          </w:tcPr>
          <w:p>
            <w:r>
              <w:rPr>
                <w:rFonts w:ascii="Calibri" w:hAnsi="Calibri"/>
                <w:sz w:val="22"/>
              </w:rPr>
              <w:t>1,181 vested / 559 withheld</w:t>
            </w:r>
          </w:p>
        </w:tc>
        <w:tc>
          <w:tcPr>
            <w:tcW w:type="dxa" w:w="1440"/>
          </w:tcPr>
          <w:p>
            <w:r>
              <w:rPr>
                <w:rFonts w:ascii="Calibri" w:hAnsi="Calibri"/>
                <w:sz w:val="22"/>
              </w:rPr>
              <w:t>July 17, 2026</w:t>
            </w:r>
          </w:p>
        </w:tc>
        <w:tc>
          <w:tcPr>
            <w:tcW w:type="dxa" w:w="1440"/>
          </w:tcPr>
          <w:p>
            <w:r>
              <w:rPr>
                <w:rFonts w:ascii="Calibri" w:hAnsi="Calibri"/>
                <w:sz w:val="22"/>
              </w:rPr>
              <w:t>Routine RSU vest; tax withholding (Code F). Not a discretionary sale.</w:t>
            </w:r>
          </w:p>
        </w:tc>
      </w:tr>
      <w:tr>
        <w:tc>
          <w:tcPr>
            <w:tcW w:type="dxa" w:w="1440"/>
          </w:tcPr>
          <w:p>
            <w:r>
              <w:rPr>
                <w:rFonts w:ascii="Calibri" w:hAnsi="Calibri"/>
                <w:sz w:val="22"/>
              </w:rPr>
              <w:t>Roeder, Paul M.</w:t>
            </w:r>
          </w:p>
        </w:tc>
        <w:tc>
          <w:tcPr>
            <w:tcW w:type="dxa" w:w="1440"/>
          </w:tcPr>
          <w:p>
            <w:r>
              <w:rPr>
                <w:rFonts w:ascii="Calibri" w:hAnsi="Calibri"/>
                <w:sz w:val="22"/>
              </w:rPr>
              <w:t>Sr. EVP &amp; Chief Comm. Officer</w:t>
            </w:r>
          </w:p>
        </w:tc>
        <w:tc>
          <w:tcPr>
            <w:tcW w:type="dxa" w:w="1440"/>
          </w:tcPr>
          <w:p>
            <w:r>
              <w:rPr>
                <w:rFonts w:ascii="Calibri" w:hAnsi="Calibri"/>
                <w:sz w:val="22"/>
              </w:rPr>
              <w:t>RSU Vesting / Tax Withholding</w:t>
            </w:r>
          </w:p>
        </w:tc>
        <w:tc>
          <w:tcPr>
            <w:tcW w:type="dxa" w:w="1440"/>
          </w:tcPr>
          <w:p>
            <w:r>
              <w:rPr>
                <w:rFonts w:ascii="Calibri" w:hAnsi="Calibri"/>
                <w:sz w:val="22"/>
              </w:rPr>
              <w:t>3,115 vested / 1,119 withheld</w:t>
            </w:r>
          </w:p>
        </w:tc>
        <w:tc>
          <w:tcPr>
            <w:tcW w:type="dxa" w:w="1440"/>
          </w:tcPr>
          <w:p>
            <w:r>
              <w:rPr>
                <w:rFonts w:ascii="Calibri" w:hAnsi="Calibri"/>
                <w:sz w:val="22"/>
              </w:rPr>
              <w:t>July 15, 2026</w:t>
            </w:r>
          </w:p>
        </w:tc>
        <w:tc>
          <w:tcPr>
            <w:tcW w:type="dxa" w:w="1440"/>
          </w:tcPr>
          <w:p>
            <w:r>
              <w:rPr>
                <w:rFonts w:ascii="Calibri" w:hAnsi="Calibri"/>
                <w:sz w:val="22"/>
              </w:rPr>
              <w:t>Routine RSU vest; tax withholding (Code F). Not a discretionary sale.</w:t>
            </w:r>
          </w:p>
        </w:tc>
      </w:tr>
      <w:tr>
        <w:tc>
          <w:tcPr>
            <w:tcW w:type="dxa" w:w="1440"/>
          </w:tcPr>
          <w:p>
            <w:r>
              <w:rPr>
                <w:rFonts w:ascii="Calibri" w:hAnsi="Calibri"/>
                <w:sz w:val="22"/>
              </w:rPr>
              <w:t>Woodford, Brent</w:t>
            </w:r>
          </w:p>
        </w:tc>
        <w:tc>
          <w:tcPr>
            <w:tcW w:type="dxa" w:w="1440"/>
          </w:tcPr>
          <w:p>
            <w:r>
              <w:rPr>
                <w:rFonts w:ascii="Calibri" w:hAnsi="Calibri"/>
                <w:sz w:val="22"/>
              </w:rPr>
              <w:t>EVP, Control, Fin Plan &amp; Tax</w:t>
            </w:r>
          </w:p>
        </w:tc>
        <w:tc>
          <w:tcPr>
            <w:tcW w:type="dxa" w:w="1440"/>
          </w:tcPr>
          <w:p>
            <w:r>
              <w:rPr>
                <w:rFonts w:ascii="Calibri" w:hAnsi="Calibri"/>
                <w:sz w:val="22"/>
              </w:rPr>
              <w:t>RSU Vesting / Tax Withholding</w:t>
            </w:r>
          </w:p>
        </w:tc>
        <w:tc>
          <w:tcPr>
            <w:tcW w:type="dxa" w:w="1440"/>
          </w:tcPr>
          <w:p>
            <w:r>
              <w:rPr>
                <w:rFonts w:ascii="Calibri" w:hAnsi="Calibri"/>
                <w:sz w:val="22"/>
              </w:rPr>
              <w:t>3,827 vested / 933 withheld</w:t>
            </w:r>
          </w:p>
        </w:tc>
        <w:tc>
          <w:tcPr>
            <w:tcW w:type="dxa" w:w="1440"/>
          </w:tcPr>
          <w:p>
            <w:r>
              <w:rPr>
                <w:rFonts w:ascii="Calibri" w:hAnsi="Calibri"/>
                <w:sz w:val="22"/>
              </w:rPr>
              <w:t>July 15, 2026</w:t>
            </w:r>
          </w:p>
        </w:tc>
        <w:tc>
          <w:tcPr>
            <w:tcW w:type="dxa" w:w="1440"/>
          </w:tcPr>
          <w:p>
            <w:r>
              <w:rPr>
                <w:rFonts w:ascii="Calibri" w:hAnsi="Calibri"/>
                <w:sz w:val="22"/>
              </w:rPr>
              <w:t>Routine RSU vest; tax withholding (Code F). Not a discretionary sale.</w:t>
            </w:r>
          </w:p>
        </w:tc>
      </w:tr>
      <w:tr>
        <w:tc>
          <w:tcPr>
            <w:tcW w:type="dxa" w:w="1440"/>
          </w:tcPr>
          <w:p>
            <w:r>
              <w:rPr>
                <w:rFonts w:ascii="Calibri" w:hAnsi="Calibri"/>
                <w:sz w:val="22"/>
              </w:rPr>
              <w:t>Multiple Directors (Barra, Chang, Darroch, Everson, Froman, Gorman, Lagomasino, McDonald, Rice, Williams)</w:t>
            </w:r>
          </w:p>
        </w:tc>
        <w:tc>
          <w:tcPr>
            <w:tcW w:type="dxa" w:w="1440"/>
          </w:tcPr>
          <w:p>
            <w:r>
              <w:rPr>
                <w:rFonts w:ascii="Calibri" w:hAnsi="Calibri"/>
                <w:sz w:val="22"/>
              </w:rPr>
              <w:t>Board Directors</w:t>
            </w:r>
          </w:p>
        </w:tc>
        <w:tc>
          <w:tcPr>
            <w:tcW w:type="dxa" w:w="1440"/>
          </w:tcPr>
          <w:p>
            <w:r>
              <w:rPr>
                <w:rFonts w:ascii="Calibri" w:hAnsi="Calibri"/>
                <w:sz w:val="22"/>
              </w:rPr>
              <w:t>Annual Equity Grant</w:t>
            </w:r>
          </w:p>
        </w:tc>
        <w:tc>
          <w:tcPr>
            <w:tcW w:type="dxa" w:w="1440"/>
          </w:tcPr>
          <w:p>
            <w:r>
              <w:rPr>
                <w:rFonts w:ascii="Calibri" w:hAnsi="Calibri"/>
                <w:sz w:val="22"/>
              </w:rPr>
              <w:t>~955–1,364 shares each</w:t>
            </w:r>
          </w:p>
        </w:tc>
        <w:tc>
          <w:tcPr>
            <w:tcW w:type="dxa" w:w="1440"/>
          </w:tcPr>
          <w:p>
            <w:r>
              <w:rPr>
                <w:rFonts w:ascii="Calibri" w:hAnsi="Calibri"/>
                <w:sz w:val="22"/>
              </w:rPr>
              <w:t>June 30, 2026</w:t>
            </w:r>
          </w:p>
        </w:tc>
        <w:tc>
          <w:tcPr>
            <w:tcW w:type="dxa" w:w="1440"/>
          </w:tcPr>
          <w:p>
            <w:r>
              <w:rPr>
                <w:rFonts w:ascii="Calibri" w:hAnsi="Calibri"/>
                <w:sz w:val="22"/>
              </w:rPr>
              <w:t>Routine annual director compensation grants (Code A). Not a market signal.</w:t>
            </w:r>
          </w:p>
        </w:tc>
      </w:tr>
    </w:tbl>
    <w:p>
      <w:r>
        <w:rPr>
          <w:rFonts w:ascii="Calibri" w:hAnsi="Calibri"/>
          <w:i/>
          <w:color w:val="525866"/>
          <w:sz w:val="22"/>
        </w:rPr>
        <w:t xml:space="preserve">No open-market purchases or discretionary sales were recorded in the period. All transactions are routine compensation-related events (RSU vesting, tax withholding, annual director grants). The absence of open-market buying by executives is notable given the ~9% stock decline since Q2 earnings, though the </w:t>
      </w:r>
      <w:r>
        <w:rPr>
          <w:rFonts w:ascii="Calibri" w:hAnsi="Calibri"/>
          <w:i/>
          <w:color w:val="525866"/>
          <w:sz w:val="22"/>
        </w:rPr>
        <w:t>blackout period ahead of Q3 earnings (reporting August 5) would preclude any open-market activity in recent weeks.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