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Let me pull the year-ago Q2 2025 figures for comparison context.# Healthpeak Properties (DOC) — Q2 2026 Earnings Preview</w:t>
      </w:r>
    </w:p>
    <w:bookmarkStart w:id="9" w:name="Xcba19cd9997db39ff971dc66350b00d2f3dd597"/>
    <w:p>
      <w:pPr>
        <w:pStyle w:val="Heading3"/>
      </w:pPr>
      <w:r>
        <w:t xml:space="preserve">Report expected Wednesday, August 4, 2026 (Q2 2026 Earnings Call)</w:t>
      </w:r>
    </w:p>
    <w:p>
      <w:r>
        <w:pict>
          <v:rect style="width:0;height:1.5pt" o:hralign="center" o:hrstd="t" o:hr="t"/>
        </w:pict>
      </w:r>
    </w:p>
    <w:bookmarkEnd w:id="9"/>
    <w:bookmarkStart w:id="10" w:name="X4e6c0e57aad9fce485d552da9f2fd1f05db50f7"/>
    <w:p>
      <w:pPr>
        <w:pStyle w:val="Heading2"/>
      </w:pPr>
      <w:r>
        <w:t xml:space="preserve">1. The Setup: A Company Transformed by the Janus Living IPO</w:t>
      </w:r>
    </w:p>
    <w:p>
      <w:pPr>
        <w:pStyle w:val="FirstParagraph"/>
      </w:pPr>
      <w:r>
        <w:t xml:space="preserve">DOC (Healthpeak Properties, the diversified healthcare REIT that trades under the ticker inherited from the Physicians Realty merger) walks into this print riding real momentum. The stock closed at **</w:t>
      </w:r>
      <m:oMath>
        <m:r>
          <m:t>21.65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34</m:t>
        </m:r>
      </m:oMath>
      <w:r>
        <w:t xml:space="preserve">16.20 in early January — a dramatic re-rating for a name that spent most of 2024–2025 stuck in the mid-teens.</w:t>
      </w:r>
    </w:p>
    <w:p>
      <w:pPr>
        <w:pStyle w:val="BodyText"/>
      </w:pPr>
      <w:r>
        <w:t xml:space="preserve">The single most important development this year was the</w:t>
      </w:r>
      <w:r>
        <w:t xml:space="preserve"> </w:t>
      </w:r>
      <w:r>
        <w:rPr>
          <w:b/>
          <w:bCs/>
        </w:rPr>
        <w:t xml:space="preserve">March 2026 IPO of Janus Living (NYSE: JAN)</w:t>
      </w:r>
      <w:r>
        <w:t xml:space="preserve">, Healthpeak's senior housing business. This is now the lens through which the Q2 story must be read:</w:t>
      </w:r>
    </w:p>
    <w:p>
      <w:pPr>
        <w:pStyle w:val="Compact"/>
        <w:numPr>
          <w:ilvl w:val="0"/>
          <w:numId w:val="1001"/>
        </w:numPr>
      </w:pPr>
      <w:r>
        <w:t xml:space="preserve">The IPO priced at the high end, generating</w:t>
      </w:r>
      <w:r>
        <w:t xml:space="preserve"> </w:t>
      </w:r>
      <w:r>
        <w:rPr>
          <w:b/>
          <w:bCs/>
        </w:rPr>
        <w:t xml:space="preserve">~$880M of net proceeds</w:t>
      </w:r>
      <w:r>
        <w:t xml:space="preserve"> </w:t>
      </w:r>
      <w:r>
        <w:t xml:space="preserve">in an oversubscribed, upsized deal.</w:t>
      </w:r>
    </w:p>
    <w:p>
      <w:pPr>
        <w:pStyle w:val="Compact"/>
        <w:numPr>
          <w:ilvl w:val="0"/>
          <w:numId w:val="1001"/>
        </w:numPr>
      </w:pPr>
      <w:r>
        <w:t xml:space="preserve">Healthpeak retained an</w:t>
      </w:r>
      <w:r>
        <w:t xml:space="preserve"> </w:t>
      </w:r>
      <w:r>
        <w:rPr>
          <w:b/>
          <w:bCs/>
        </w:rPr>
        <w:t xml:space="preserve">~81.6% stake</w:t>
      </w:r>
      <w:r>
        <w:t xml:space="preserve">; by early May that stake was worth ~</w:t>
      </w:r>
      <m:oMath>
        <m:r>
          <m:t>5.7</m:t>
        </m:r>
        <m:r>
          <m:t>B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J</m:t>
        </m:r>
        <m:r>
          <m:t>A</m:t>
        </m:r>
        <m:r>
          <m:t>N</m:t>
        </m:r>
        <m:r>
          <m:t>h</m:t>
        </m:r>
        <m:r>
          <m:t>a</m:t>
        </m:r>
        <m:r>
          <m:t>s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r</m:t>
        </m:r>
        <m:r>
          <m:t>a</m:t>
        </m:r>
        <m:r>
          <m:t>l</m:t>
        </m:r>
        <m:r>
          <m:t>l</m:t>
        </m:r>
        <m:r>
          <m:t>i</m:t>
        </m:r>
        <m:r>
          <m:t>e</m:t>
        </m:r>
        <m:r>
          <m:t>d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23.6 (IPO) to **~$29.6**, adding meaningful mark-to-market value to Healthpeak's holding.</w:t>
      </w:r>
    </w:p>
    <w:p>
      <w:pPr>
        <w:pStyle w:val="Compact"/>
        <w:numPr>
          <w:ilvl w:val="0"/>
          <w:numId w:val="1001"/>
        </w:numPr>
      </w:pPr>
      <w:r>
        <w:t xml:space="preserve">Crucially, management timed</w:t>
      </w:r>
      <w:r>
        <w:t xml:space="preserve"> </w:t>
      </w:r>
      <w:r>
        <w:rPr>
          <w:b/>
          <w:bCs/>
        </w:rPr>
        <w:t xml:space="preserve">$714M of senior housing acquisitions onto Healthpeak's own balance sheet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before</w:t>
      </w:r>
      <w:r>
        <w:rPr>
          <w:b/>
          <w:bCs/>
        </w:rPr>
        <w:t xml:space="preserve"> </w:t>
      </w:r>
      <w:r>
        <w:rPr>
          <w:b/>
          <w:bCs/>
        </w:rPr>
        <w:t xml:space="preserve">the IPO</w:t>
      </w:r>
      <w:r>
        <w:t xml:space="preserve">, then contributed them to Janus — capturing a valuation arbitrage (senior housing FFO now valued ~20 turns higher than Healthpeak's own multiple) while keeping DOC's senior housing exposure essentially unchanged.</w:t>
      </w:r>
    </w:p>
    <w:p>
      <w:pPr>
        <w:pStyle w:val="FirstParagraph"/>
      </w:pPr>
      <w:r>
        <w:rPr>
          <w:b/>
          <w:bCs/>
        </w:rPr>
        <w:t xml:space="preserve">What to listen for:</w:t>
      </w:r>
      <w:r>
        <w:t xml:space="preserve"> </w:t>
      </w:r>
      <w:r>
        <w:t xml:space="preserve">Because Janus is</w:t>
      </w:r>
      <w:r>
        <w:t xml:space="preserve"> </w:t>
      </w:r>
      <w:r>
        <w:rPr>
          <w:i/>
          <w:iCs/>
        </w:rPr>
        <w:t xml:space="preserve">consolidated</w:t>
      </w:r>
      <w:r>
        <w:t xml:space="preserve"> </w:t>
      </w:r>
      <w:r>
        <w:t xml:space="preserve">into Healthpeak's financials (with an ~18.4% minority interest deduction), the Q2 numbers will again carry Janus's revenue growth, its public-company costs, and the temporary drag from undeployed IPO cash. Management framed the IPO as</w:t>
      </w:r>
      <w:r>
        <w:t xml:space="preserve"> </w:t>
      </w:r>
      <w:r>
        <w:rPr>
          <w:b/>
          <w:bCs/>
        </w:rPr>
        <w:t xml:space="preserve">earnings-neutral to DOC in 2026 and accretive in 2027+</w:t>
      </w:r>
      <w:r>
        <w:t xml:space="preserve"> </w:t>
      </w:r>
      <w:r>
        <w:t xml:space="preserve">(~</w:t>
      </w:r>
      <m:oMath>
        <m:r>
          <m:t>0.04</m:t>
        </m:r>
        <m:r>
          <m:t>r</m:t>
        </m:r>
        <m:r>
          <m:t>u</m:t>
        </m:r>
        <m:r>
          <m:t>n</m:t>
        </m:r>
        <m:r>
          <m:rPr>
            <m:sty m:val="p"/>
          </m:rPr>
          <m:t>−</m:t>
        </m:r>
        <m:r>
          <m:t>r</m:t>
        </m:r>
        <m:r>
          <m:t>a</m:t>
        </m:r>
        <m:r>
          <m:t>t</m:t>
        </m:r>
        <m:r>
          <m:t>e</m:t>
        </m:r>
        <m:r>
          <m:t>a</m:t>
        </m:r>
        <m:r>
          <m:t>c</m:t>
        </m:r>
        <m:r>
          <m:t>c</m:t>
        </m:r>
        <m:r>
          <m:t>r</m:t>
        </m:r>
        <m:r>
          <m:t>e</m:t>
        </m:r>
        <m:r>
          <m:t>t</m:t>
        </m:r>
        <m:r>
          <m:t>i</m:t>
        </m:r>
        <m:r>
          <m:t>o</m:t>
        </m:r>
        <m:r>
          <m:t>n</m:t>
        </m:r>
        <m:r>
          <m:t>o</m:t>
        </m:r>
        <m:r>
          <m:t>n</m:t>
        </m:r>
        <m:r>
          <m:t>c</m:t>
        </m:r>
        <m:r>
          <m:t>e</m:t>
        </m:r>
        <m:r>
          <m:t>t</m:t>
        </m:r>
        <m:r>
          <m:t>h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i</m:t>
        </m:r>
        <m:r>
          <m:t>s</m:t>
        </m:r>
        <m:r>
          <m:t>d</m:t>
        </m:r>
        <m:r>
          <m:t>e</m:t>
        </m:r>
        <m:r>
          <m:t>p</m:t>
        </m:r>
        <m:r>
          <m:t>l</m:t>
        </m:r>
        <m:r>
          <m:t>o</m:t>
        </m:r>
        <m:r>
          <m:t>y</m:t>
        </m:r>
        <m:r>
          <m:t>e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W</m:t>
        </m:r>
        <m:r>
          <m:t>a</m:t>
        </m:r>
        <m:r>
          <m:t>t</m:t>
        </m:r>
        <m:r>
          <m:t>c</m:t>
        </m:r>
        <m:r>
          <m:t>h</m:t>
        </m:r>
        <m:r>
          <m:t>f</m:t>
        </m:r>
        <m:r>
          <m:t>o</m:t>
        </m:r>
        <m:r>
          <m:t>r</m:t>
        </m:r>
        <m:r>
          <m:rPr>
            <m:sty m:val="p"/>
          </m:rPr>
          <m:t>: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  <m:r>
          <m:t>p</m:t>
        </m:r>
        <m:r>
          <m:t>r</m:t>
        </m:r>
        <m:r>
          <m:t>o</m:t>
        </m:r>
        <m:r>
          <m:t>g</m:t>
        </m:r>
        <m:r>
          <m:t>r</m:t>
        </m:r>
        <m:r>
          <m:t>e</m:t>
        </m:r>
        <m:r>
          <m:t>s</m:t>
        </m:r>
        <m:r>
          <m:t>s</m:t>
        </m:r>
        <m:r>
          <m:t>d</m:t>
        </m:r>
        <m:r>
          <m:t>e</m:t>
        </m:r>
        <m:r>
          <m:t>p</m:t>
        </m:r>
        <m:r>
          <m:t>l</m:t>
        </m:r>
        <m:r>
          <m:t>o</m:t>
        </m:r>
        <m:r>
          <m:t>y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750M of cash into acquisitions, and (b) an update on the</w:t>
      </w:r>
      <w:r>
        <w:t xml:space="preserve"> </w:t>
      </w:r>
      <w:r>
        <w:rPr>
          <w:b/>
          <w:bCs/>
        </w:rPr>
        <w:t xml:space="preserve">~$400M of senior housing acquisitions JAN was under contract on</w:t>
      </w:r>
      <w:r>
        <w:t xml:space="preserve"> </w:t>
      </w:r>
      <w:r>
        <w:t xml:space="preserve">at Q1.</w:t>
      </w:r>
    </w:p>
    <w:p>
      <w:r>
        <w:pict>
          <v:rect style="width:0;height:1.5pt" o:hralign="center" o:hrstd="t" o:hr="t"/>
        </w:pict>
      </w:r>
    </w:p>
    <w:bookmarkEnd w:id="10"/>
    <w:bookmarkStart w:id="11" w:name="Xae0b920df6f4b1312188a56bf22cbb0ecb59255"/>
    <w:p>
      <w:pPr>
        <w:pStyle w:val="Heading2"/>
      </w:pPr>
      <w:r>
        <w:t xml:space="preserve">2. Earnings &amp; Guidance — What the Numbers Should Look Like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 (actual)</w:t>
            </w:r>
          </w:p>
        </w:tc>
        <w:tc>
          <w:tcPr/>
          <w:p>
            <w:pPr>
              <w:pStyle w:val="Compact"/>
            </w:pPr>
            <w:r>
              <w:t xml:space="preserve">Q1 2026 (actual)</w:t>
            </w:r>
          </w:p>
        </w:tc>
        <w:tc>
          <w:tcPr/>
          <w:p>
            <w:pPr>
              <w:pStyle w:val="Compact"/>
            </w:pPr>
            <w:r>
              <w:t xml:space="preserve">FY2026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FFO as Adjusted / sh</w:t>
            </w:r>
          </w:p>
        </w:tc>
        <w:tc>
          <w:tcPr/>
          <w:p>
            <w:pPr>
              <w:pStyle w:val="Compact"/>
            </w:pPr>
            <w:r>
              <w:t xml:space="preserve">$0.46</w:t>
            </w:r>
          </w:p>
        </w:tc>
        <w:tc>
          <w:tcPr/>
          <w:p>
            <w:pPr>
              <w:pStyle w:val="Compact"/>
            </w:pPr>
            <w:r>
              <w:t xml:space="preserve">$0.45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$1.71 – $1.75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Nareit FFO / sh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$0.42</w:t>
            </w:r>
          </w:p>
        </w:tc>
        <w:tc>
          <w:tcPr/>
          <w:p>
            <w:pPr>
              <w:pStyle w:val="Compact"/>
            </w:pPr>
            <w:r>
              <w:t xml:space="preserve">$1.68 – $1.72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$0.28</w:t>
            </w:r>
          </w:p>
        </w:tc>
        <w:tc>
          <w:tcPr/>
          <w:p>
            <w:pPr>
              <w:pStyle w:val="Compact"/>
            </w:pPr>
            <w:r>
              <w:t xml:space="preserve">$0.46 – $0.50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SS Cash NOI growth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0.0%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(1.0%) – 1.0%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Debt / Adj. EBITDA</w:t>
            </w:r>
          </w:p>
        </w:tc>
        <w:tc>
          <w:tcPr/>
          <w:p>
            <w:pPr>
              <w:pStyle w:val="Compact"/>
            </w:pPr>
            <w:r>
              <w:t xml:space="preserve">5.2x</w:t>
            </w:r>
          </w:p>
        </w:tc>
        <w:tc>
          <w:tcPr/>
          <w:p>
            <w:pPr>
              <w:pStyle w:val="Compact"/>
            </w:pPr>
            <w:r>
              <w:t xml:space="preserve">5.4x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/>
          <w:bCs/>
        </w:rPr>
        <w:t xml:space="preserve">Key modeling nuance:</w:t>
      </w:r>
      <w:r>
        <w:t xml:space="preserve"> </w:t>
      </w:r>
      <w:r>
        <w:t xml:space="preserve">Management explicitly guided that Q1's</w:t>
      </w:r>
      <w:r>
        <w:t xml:space="preserve"> </w:t>
      </w:r>
      <m:oMath>
        <m:r>
          <m:t>0.45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e</m:t>
        </m:r>
        <m:r>
          <m:t>l</m:t>
        </m:r>
        <m:r>
          <m:t>e</m:t>
        </m:r>
        <m:r>
          <m:t>v</m:t>
        </m:r>
        <m:r>
          <m:t>a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y</m:t>
        </m:r>
        <m:r>
          <m:t>t</m:t>
        </m:r>
        <m:r>
          <m:t>h</m:t>
        </m:r>
        <m:r>
          <m:t>e</m:t>
        </m:r>
        <m:r>
          <m:t>o</m:t>
        </m:r>
        <m:r>
          <m:t>n</m:t>
        </m:r>
        <m:r>
          <m:rPr>
            <m:sty m:val="p"/>
          </m:rPr>
          <m:t>−</m:t>
        </m:r>
        <m:r>
          <m:t>b</m:t>
        </m:r>
        <m:r>
          <m:t>a</m:t>
        </m:r>
        <m:r>
          <m:t>l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−</m:t>
        </m:r>
        <m:r>
          <m:t>s</m:t>
        </m:r>
        <m:r>
          <m:t>h</m:t>
        </m:r>
        <m:r>
          <m:t>e</m:t>
        </m:r>
        <m:r>
          <m:t>e</m:t>
        </m:r>
        <m:r>
          <m:t>t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h</m:t>
        </m:r>
        <m:r>
          <m:t>e</m:t>
        </m:r>
        <m:r>
          <m:t>l</m:t>
        </m:r>
        <m:r>
          <m:t>d</m:t>
        </m:r>
        <m:r>
          <m:t>a</m:t>
        </m:r>
        <m:r>
          <m:t>h</m:t>
        </m:r>
        <m:r>
          <m:t>e</m:t>
        </m:r>
        <m:r>
          <m:t>a</m:t>
        </m:r>
        <m:r>
          <m:t>d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I</m:t>
        </m:r>
        <m:r>
          <m:t>P</m:t>
        </m:r>
        <m:r>
          <m:t>O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a</m:t>
        </m:r>
        <m:r>
          <m:t>t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r</m:t>
        </m:r>
        <m:r>
          <m:t>u</m:t>
        </m:r>
        <m:r>
          <m:t>n</m:t>
        </m:r>
        <m:r>
          <m:rPr>
            <m:sty m:val="p"/>
          </m:rPr>
          <m:t>−</m:t>
        </m:r>
        <m:r>
          <m:t>r</m:t>
        </m:r>
        <m:r>
          <m:t>a</m:t>
        </m:r>
        <m:r>
          <m:t>t</m:t>
        </m:r>
        <m:r>
          <m:t>e</m:t>
        </m:r>
        <m:r>
          <m:t>s</m:t>
        </m:r>
        <m:r>
          <m:t>h</m:t>
        </m:r>
        <m:r>
          <m:t>o</m:t>
        </m:r>
        <m:r>
          <m:t>u</m:t>
        </m:r>
        <m:r>
          <m:t>l</m:t>
        </m:r>
        <m:r>
          <m:t>d</m:t>
        </m:r>
        <m:r>
          <m:t>s</m:t>
        </m:r>
        <m:r>
          <m:t>e</m:t>
        </m:r>
        <m:r>
          <m:t>t</m:t>
        </m:r>
        <m:r>
          <m:t>t</m:t>
        </m:r>
        <m:r>
          <m:t>l</m:t>
        </m:r>
        <m:r>
          <m:t>e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0.43 (±</w:t>
      </w:r>
      <m:oMath>
        <m:r>
          <m:t>0.01</m:t>
        </m:r>
        <m:r>
          <m:rPr>
            <m:sty m:val="p"/>
          </m:rPr>
          <m:t>)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f</m:t>
        </m:r>
        <m:r>
          <m:t>t</m:t>
        </m:r>
        <m:r>
          <m:t>h</m:t>
        </m:r>
        <m:r>
          <m:t>e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.</m:t>
        </m:r>
        <m:r>
          <m:t>S</m:t>
        </m:r>
        <m:r>
          <m:t>o</m:t>
        </m:r>
        <m:r>
          <m:t>a</m:t>
        </m:r>
        <m:r>
          <m:t>Q</m:t>
        </m:r>
        <m:r>
          <m:t>2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0.42–$0.43** zone is roughly "in line,"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a miss versus the strong Q1.</w:t>
      </w:r>
    </w:p>
    <w:p>
      <w:pPr>
        <w:pStyle w:val="BodyText"/>
      </w:pPr>
      <w:r>
        <w:rPr>
          <w:b/>
          <w:bCs/>
        </w:rPr>
        <w:t xml:space="preserve">Two known H2 headwinds</w:t>
      </w:r>
      <w:r>
        <w:t xml:space="preserve"> </w:t>
      </w:r>
      <w:r>
        <w:t xml:space="preserve">management flagged that should start showing up now: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~$650M of 3.5% senior notes</w:t>
      </w:r>
      <w:r>
        <w:t xml:space="preserve"> </w:t>
      </w:r>
      <w:r>
        <w:t xml:space="preserve">were refinanced in June at today's much higher rates — an interest-expense step-up in the back half.</w:t>
      </w:r>
    </w:p>
    <w:p>
      <w:pPr>
        <w:pStyle w:val="Compact"/>
        <w:numPr>
          <w:ilvl w:val="0"/>
          <w:numId w:val="1002"/>
        </w:numPr>
      </w:pPr>
      <w:r>
        <w:t xml:space="preserve">Full-year</w:t>
      </w:r>
      <w:r>
        <w:t xml:space="preserve"> </w:t>
      </w:r>
      <w:r>
        <w:rPr>
          <w:b/>
          <w:bCs/>
        </w:rPr>
        <w:t xml:space="preserve">interest expense guided ~</w:t>
      </w:r>
      <w:r>
        <w:rPr>
          <w:b/>
          <w:bCs/>
        </w:rPr>
        <w:t xml:space="preserve">$20M higher and G&amp;A ~$</w:t>
      </w:r>
      <w:r>
        <w:rPr>
          <w:b/>
          <w:bCs/>
        </w:rPr>
        <w:t xml:space="preserve">5M higher</w:t>
      </w:r>
      <w:r>
        <w:t xml:space="preserve">, partly offset by senior housing outperformance and deployment of proceeds.</w:t>
      </w:r>
    </w:p>
    <w:p>
      <w:pPr>
        <w:pStyle w:val="FirstParagraph"/>
      </w:pPr>
      <w:r>
        <w:rPr>
          <w:b/>
          <w:bCs/>
        </w:rPr>
        <w:t xml:space="preserve">Guidance-raise watch:</w:t>
      </w:r>
      <w:r>
        <w:t xml:space="preserve"> </w:t>
      </w:r>
      <w:r>
        <w:t xml:space="preserve">DOC nudged FFO guidance</w:t>
      </w:r>
      <w:r>
        <w:t xml:space="preserve"> </w:t>
      </w:r>
      <w:r>
        <w:rPr>
          <w:i/>
          <w:iCs/>
        </w:rPr>
        <w:t xml:space="preserve">up</w:t>
      </w:r>
      <w:r>
        <w:t xml:space="preserve"> </w:t>
      </w:r>
      <w:r>
        <w:t xml:space="preserve">$0.01 at Q1 on the back of accretive buybacks. With the stock now much higher (making new leverage-neutral buybacks less compelling) but recap/disposition proceeds and JAN accretion flowing in, a modest raise is plausible but not a given. A raise to same-store NOI guidance is possible — management deferred updating segment same-store at Q1 and said they'd "reevaluate over the course of the year."</w:t>
      </w:r>
    </w:p>
    <w:p>
      <w:r>
        <w:pict>
          <v:rect style="width:0;height:1.5pt" o:hralign="center" o:hrstd="t" o:hr="t"/>
        </w:pict>
      </w:r>
    </w:p>
    <w:bookmarkEnd w:id="11"/>
    <w:bookmarkStart w:id="15" w:name="Xb4ac3a812f7ebf4bb28377d341a0947c48592a6"/>
    <w:p>
      <w:pPr>
        <w:pStyle w:val="Heading2"/>
      </w:pPr>
      <w:r>
        <w:t xml:space="preserve">3. Segment Watch List</w:t>
      </w:r>
    </w:p>
    <w:bookmarkStart w:id="12" w:name="Xe3785c4f35debe36705a3df20434a73d6ceddda"/>
    <w:p>
      <w:pPr>
        <w:pStyle w:val="Heading3"/>
      </w:pPr>
      <w:r>
        <w:t xml:space="preserve">Lab / Life Science — the swing factor and the bull case</w:t>
      </w:r>
    </w:p>
    <w:p>
      <w:pPr>
        <w:pStyle w:val="FirstParagraph"/>
      </w:pPr>
      <w:r>
        <w:t xml:space="preserve">This is where the debate lives. After a brutal 2025 (Q2 '25 saw total occupancy fall ~150 bps on failed-capital-raise tenant departures), management turned notably more upbeat at Q1 2026:</w:t>
      </w:r>
    </w:p>
    <w:p>
      <w:pPr>
        <w:pStyle w:val="Compact"/>
        <w:numPr>
          <w:ilvl w:val="0"/>
          <w:numId w:val="1003"/>
        </w:numPr>
      </w:pPr>
      <w:r>
        <w:t xml:space="preserve">Total lab occupancy rose sequentially to</w:t>
      </w:r>
      <w:r>
        <w:t xml:space="preserve"> </w:t>
      </w:r>
      <w:r>
        <w:rPr>
          <w:b/>
          <w:bCs/>
        </w:rPr>
        <w:t xml:space="preserve">77.7%</w:t>
      </w:r>
      <w:r>
        <w:t xml:space="preserve"> </w:t>
      </w:r>
      <w:r>
        <w:t xml:space="preserve">(from 77% at YE2025), with a stated goal of</w:t>
      </w:r>
      <w:r>
        <w:t xml:space="preserve"> </w:t>
      </w:r>
      <w:r>
        <w:rPr>
          <w:b/>
          <w:bCs/>
        </w:rPr>
        <w:t xml:space="preserve">+100 bps by year-end 2026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The setup rests on</w:t>
      </w:r>
      <w:r>
        <w:t xml:space="preserve"> </w:t>
      </w:r>
      <w:r>
        <w:rPr>
          <w:b/>
          <w:bCs/>
        </w:rPr>
        <w:t xml:space="preserve">~400K sq ft of 2026 expirations offset by &gt;500K sq ft of commencements</w:t>
      </w:r>
      <w:r>
        <w:t xml:space="preserve"> </w:t>
      </w:r>
      <w:r>
        <w:t xml:space="preserve">— i.e., embedded net absorption. Watch whether SNO (signed-not-occupied) leases are actually commencing on schedule.</w:t>
      </w:r>
    </w:p>
    <w:p>
      <w:pPr>
        <w:pStyle w:val="Compact"/>
        <w:numPr>
          <w:ilvl w:val="0"/>
          <w:numId w:val="1003"/>
        </w:numPr>
      </w:pPr>
      <w:r>
        <w:t xml:space="preserve">Management cited</w:t>
      </w:r>
      <w:r>
        <w:t xml:space="preserve"> </w:t>
      </w:r>
      <w:r>
        <w:rPr>
          <w:b/>
          <w:bCs/>
        </w:rPr>
        <w:t xml:space="preserve">the strongest biotech equity-issuance month (April) since early 2021</w:t>
      </w:r>
      <w:r>
        <w:t xml:space="preserve"> </w:t>
      </w:r>
      <w:r>
        <w:t xml:space="preserve">and a broad-based ~2M sq ft pipeline. The</w:t>
      </w:r>
      <w:r>
        <w:t xml:space="preserve"> </w:t>
      </w:r>
      <w:r>
        <w:rPr>
          <w:b/>
          <w:bCs/>
        </w:rPr>
        <w:t xml:space="preserve">Gateway (South SF)</w:t>
      </w:r>
      <w:r>
        <w:t xml:space="preserve"> </w:t>
      </w:r>
      <w:r>
        <w:t xml:space="preserve">acquisition is reportedly leasing ahead of underwriting.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Key forward tell:</w:t>
      </w:r>
      <w:r>
        <w:t xml:space="preserve"> </w:t>
      </w:r>
      <w:r>
        <w:t xml:space="preserve">Brinker hinted the</w:t>
      </w:r>
      <w:r>
        <w:t xml:space="preserve"> </w:t>
      </w:r>
      <w:r>
        <w:rPr>
          <w:b/>
          <w:bCs/>
        </w:rPr>
        <w:t xml:space="preserve">2027 lab renewal rate could jump to ~50%+</w:t>
      </w:r>
      <w:r>
        <w:t xml:space="preserve"> </w:t>
      </w:r>
      <w:r>
        <w:t xml:space="preserve">(vs. weak 2026). Any hardening of that view is a positive catalyst.</w:t>
      </w:r>
    </w:p>
    <w:p>
      <w:pPr>
        <w:pStyle w:val="Compact"/>
        <w:numPr>
          <w:ilvl w:val="0"/>
          <w:numId w:val="1003"/>
        </w:numPr>
      </w:pPr>
      <w:r>
        <w:t xml:space="preserve">Cash re-leasing spreads have been positive but modest (+3.5% in Q1); watch face rents (~$60/sf NNN) given a larger peer is guiding to ugly spreads.</w:t>
      </w:r>
    </w:p>
    <w:bookmarkEnd w:id="12"/>
    <w:bookmarkStart w:id="13" w:name="X593b70897d08494e92c124d478e113503db3646"/>
    <w:p>
      <w:pPr>
        <w:pStyle w:val="Heading3"/>
      </w:pPr>
      <w:r>
        <w:t xml:space="preserve">Outpatient Medical — the steady compounder</w:t>
      </w:r>
    </w:p>
    <w:p>
      <w:pPr>
        <w:pStyle w:val="FirstParagraph"/>
      </w:pPr>
      <w:r>
        <w:t xml:space="preserve">Consistently the strongest, most predictable engine:</w:t>
      </w:r>
    </w:p>
    <w:p>
      <w:pPr>
        <w:pStyle w:val="Compact"/>
        <w:numPr>
          <w:ilvl w:val="0"/>
          <w:numId w:val="1004"/>
        </w:numPr>
      </w:pPr>
      <w:r>
        <w:t xml:space="preserve">Q1 2026: +2.4% same-store, ~91% occupancy,</w:t>
      </w:r>
      <w:r>
        <w:t xml:space="preserve"> </w:t>
      </w:r>
      <w:r>
        <w:rPr>
          <w:b/>
          <w:bCs/>
        </w:rPr>
        <w:t xml:space="preserve">+5.4% cash re-leasing spreads</w:t>
      </w:r>
      <w:r>
        <w:t xml:space="preserve">, 79% retention, 3% escalators, and unusually low leasing costs (~10% of annual rent, much of it done in-house).</w:t>
      </w:r>
    </w:p>
    <w:p>
      <w:pPr>
        <w:pStyle w:val="Compact"/>
        <w:numPr>
          <w:ilvl w:val="0"/>
          <w:numId w:val="1004"/>
        </w:numPr>
      </w:pPr>
      <w:r>
        <w:t xml:space="preserve">Watch for continued strong renewal volume (Q1 had post-quarter momentum of ~1M sq ft executed + LOIs) and any commentary on the proposed</w:t>
      </w:r>
      <w:r>
        <w:t xml:space="preserve"> </w:t>
      </w:r>
      <w:r>
        <w:rPr>
          <w:b/>
          <w:bCs/>
        </w:rPr>
        <w:t xml:space="preserve">CMS "inpatient-only list" changes</w:t>
      </w:r>
      <w:r>
        <w:t xml:space="preserve">, which management views as a structural demand tailwind for higher-acuity outpatient centers.</w:t>
      </w:r>
    </w:p>
    <w:bookmarkEnd w:id="13"/>
    <w:bookmarkStart w:id="14" w:name="Xc9da28ef871bd7fd7793043a572b832f0e23b15"/>
    <w:p>
      <w:pPr>
        <w:pStyle w:val="Heading3"/>
      </w:pPr>
      <w:r>
        <w:t xml:space="preserve">Senior Housing (via Janus) — the growth story</w:t>
      </w:r>
    </w:p>
    <w:p>
      <w:pPr>
        <w:pStyle w:val="Compact"/>
        <w:numPr>
          <w:ilvl w:val="0"/>
          <w:numId w:val="1005"/>
        </w:numPr>
      </w:pPr>
      <w:r>
        <w:t xml:space="preserve">Q1 senior housing same-store was</w:t>
      </w:r>
      <w:r>
        <w:t xml:space="preserve"> </w:t>
      </w:r>
      <w:r>
        <w:rPr>
          <w:b/>
          <w:bCs/>
        </w:rPr>
        <w:t xml:space="preserve">+13.8%</w:t>
      </w:r>
      <w:r>
        <w:t xml:space="preserve"> </w:t>
      </w:r>
      <w:r>
        <w:t xml:space="preserve">and Janus posted</w:t>
      </w:r>
      <w:r>
        <w:t xml:space="preserve"> </w:t>
      </w:r>
      <w:r>
        <w:rPr>
          <w:b/>
          <w:bCs/>
        </w:rPr>
        <w:t xml:space="preserve">35% revenue / 42% EBITDA growth</w:t>
      </w:r>
      <w:r>
        <w:t xml:space="preserve"> </w:t>
      </w:r>
      <w:r>
        <w:t xml:space="preserve">with record entry-fee volumes. Detailed color will again come on the</w:t>
      </w:r>
      <w:r>
        <w:t xml:space="preserve"> </w:t>
      </w:r>
      <w:r>
        <w:rPr>
          <w:i/>
          <w:iCs/>
        </w:rPr>
        <w:t xml:space="preserve">separate Janus earnings call</w:t>
      </w:r>
      <w:r>
        <w:t xml:space="preserve">, but DOC's earnings now inherit the segment's strength.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1f8bc84e9aedd04b7eed032dc3869cdf9b0aaac"/>
    <w:p>
      <w:pPr>
        <w:pStyle w:val="Heading2"/>
      </w:pPr>
      <w:r>
        <w:t xml:space="preserve">4. Capital Allocation — a lot in motion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Capital recycling:</w:t>
      </w:r>
      <w:r>
        <w:t xml:space="preserve"> </w:t>
      </w:r>
      <w:r>
        <w:t xml:space="preserve">targeting ~</w:t>
      </w:r>
      <m:oMath>
        <m:r>
          <m:t>1</m:t>
        </m:r>
        <m:r>
          <m:t>B</m:t>
        </m:r>
        <m:r>
          <m:t>o</m:t>
        </m:r>
        <m:r>
          <m:t>f</m:t>
        </m:r>
        <m:r>
          <m:t>r</m:t>
        </m:r>
        <m:r>
          <m:t>e</m:t>
        </m:r>
        <m:r>
          <m:t>c</m:t>
        </m:r>
        <m:r>
          <m:t>a</m:t>
        </m:r>
        <m:r>
          <m:t>p</m:t>
        </m:r>
        <m:r>
          <m:t>s</m:t>
        </m:r>
        <m:r>
          <m:rPr>
            <m:sty m:val="p"/>
          </m:rPr>
          <m:t>/</m:t>
        </m:r>
        <m:r>
          <m:t>d</m:t>
        </m:r>
        <m:r>
          <m:t>i</m:t>
        </m:r>
        <m:r>
          <m:t>s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a</m:t>
        </m:r>
        <m:r>
          <m:t>n</m:t>
        </m:r>
        <m:r>
          <m:t>d</m:t>
        </m:r>
        <m:r>
          <m:t> </m:t>
        </m:r>
      </m:oMath>
      <w:r>
        <w:t xml:space="preserve">1B of acquisitions in 2026. As of early May, ~</w:t>
      </w:r>
      <m:oMath>
        <m:r>
          <m:t>270</m:t>
        </m:r>
        <m:r>
          <m:t>M</m:t>
        </m:r>
        <m:r>
          <m:t>o</m:t>
        </m:r>
        <m:r>
          <m:t>f</m:t>
        </m:r>
        <m:r>
          <m:t>p</m:t>
        </m:r>
        <m:r>
          <m:t>r</m:t>
        </m:r>
        <m:r>
          <m:t>o</m:t>
        </m:r>
        <m:r>
          <m:t>c</m:t>
        </m:r>
        <m:r>
          <m:t>e</m:t>
        </m:r>
        <m:r>
          <m:t>e</m:t>
        </m:r>
        <m:r>
          <m:t>d</m:t>
        </m:r>
        <m:r>
          <m:t>s</m:t>
        </m:r>
        <m:r>
          <m:t>w</m:t>
        </m:r>
        <m:r>
          <m:t>e</m:t>
        </m:r>
        <m:r>
          <m:t>r</m:t>
        </m:r>
        <m:r>
          <m:t>e</m:t>
        </m:r>
        <m:r>
          <m:t>i</m:t>
        </m:r>
        <m:r>
          <m:t>n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f</m:t>
        </m:r>
        <m:r>
          <m:t>l</m:t>
        </m:r>
        <m:r>
          <m:t>a</m:t>
        </m:r>
        <m:r>
          <m:t>g</m:t>
        </m:r>
        <m:r>
          <m:t>g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700M+ of additional transactions "underway" at cap rates ~200 bps inside what the stock implies.** Progress here is a key credibility check.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Blackstone JV:</w:t>
      </w:r>
      <w:r>
        <w:t xml:space="preserve"> </w:t>
      </w:r>
      <w:r>
        <w:t xml:space="preserve">the March recap (80% of a 6-property MOB portfolio at a</w:t>
      </w:r>
      <w:r>
        <w:t xml:space="preserve"> </w:t>
      </w:r>
      <w:r>
        <w:rPr>
          <w:b/>
          <w:bCs/>
        </w:rPr>
        <w:t xml:space="preserve">6.1% cash cap rate</w:t>
      </w:r>
      <w:r>
        <w:t xml:space="preserve">,</w:t>
      </w:r>
      <w:r>
        <w:t xml:space="preserve"> </w:t>
      </w:r>
      <m:oMath>
        <m:r>
          <m:t>170</m:t>
        </m:r>
        <m:r>
          <m:t>M</m:t>
        </m:r>
        <m:r>
          <m:t>p</m:t>
        </m:r>
        <m:r>
          <m:t>r</m:t>
        </m:r>
        <m:r>
          <m:t>o</m:t>
        </m:r>
        <m:r>
          <m:t>c</m:t>
        </m:r>
        <m:r>
          <m:t>e</m:t>
        </m:r>
        <m:r>
          <m:t>e</m:t>
        </m:r>
        <m:r>
          <m:t>d</m:t>
        </m:r>
        <m:r>
          <m:t>s</m:t>
        </m:r>
        <m:r>
          <m:rPr>
            <m:sty m:val="p"/>
          </m:rPr>
          <m:t>,</m:t>
        </m:r>
        <m:r>
          <m:t> </m:t>
        </m:r>
      </m:oMath>
      <w:r>
        <w:t xml:space="preserve">508/sf) established a template. Watch for expansion — management signaled future recaps/acquisitions with Blackstone at 10–20% co-invest stakes.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Buybacks:</w:t>
      </w:r>
      <w:r>
        <w:t xml:space="preserve"> </w:t>
      </w:r>
      <w:r>
        <w:t xml:space="preserve">~$100M repurchased in April at</w:t>
      </w:r>
      <w:r>
        <w:t xml:space="preserve"> </w:t>
      </w:r>
      <m:oMath>
        <m:r>
          <m:t>16.81</m:t>
        </m:r>
        <m:r>
          <m:rPr>
            <m:sty m:val="p"/>
          </m:rPr>
          <m:t>(</m:t>
        </m:r>
        <m:r>
          <m:rPr>
            <m:sty m:val="p"/>
          </m:rPr>
          <m:t>&gt;</m:t>
        </m:r>
        <m:r>
          <m:t>10</m:t>
        </m:r>
      </m:oMath>
      <w:r>
        <w:t xml:space="preserve">306M remained** under the</w:t>
      </w:r>
      <w:r>
        <w:t xml:space="preserve"> </w:t>
      </w:r>
      <m:oMath>
        <m:r>
          <m:t>500</m:t>
        </m:r>
        <m:r>
          <m:t>M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t</m:t>
        </m:r>
        <m:r>
          <m:t>Q</m:t>
        </m:r>
        <m:r>
          <m:t>1</m:t>
        </m:r>
        <m:r>
          <m:rPr>
            <m:sty m:val="p"/>
          </m:rPr>
          <m:t>.</m:t>
        </m:r>
        <m:r>
          <m:t>W</m:t>
        </m:r>
        <m:r>
          <m:t>i</m:t>
        </m:r>
        <m:r>
          <m:t>t</m:t>
        </m:r>
        <m:r>
          <m:t>h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n</m:t>
        </m:r>
        <m:r>
          <m:t>o</m:t>
        </m:r>
        <m:r>
          <m:t>w</m:t>
        </m:r>
        <m:r>
          <m:t> </m:t>
        </m:r>
      </m:oMath>
      <w:r>
        <w:t xml:space="preserve">21.65, the math on new buybacks is far less accretive — expect a more selective tone.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5.4x net debt/EBITDA, plus a</w:t>
      </w:r>
      <w:r>
        <w:t xml:space="preserve"> </w:t>
      </w:r>
      <w:r>
        <w:rPr>
          <w:b/>
          <w:bCs/>
        </w:rPr>
        <w:t xml:space="preserve">$400M undrawn delayed-draw term loan</w:t>
      </w:r>
      <w:r>
        <w:t xml:space="preserve"> </w:t>
      </w:r>
      <w:r>
        <w:t xml:space="preserve">(SOFR+80, matures 2031) providing dry powder through December 2026.</w:t>
      </w:r>
    </w:p>
    <w:p>
      <w:r>
        <w:pict>
          <v:rect style="width:0;height:1.5pt" o:hralign="center" o:hrstd="t" o:hr="t"/>
        </w:pict>
      </w:r>
    </w:p>
    <w:bookmarkEnd w:id="16"/>
    <w:bookmarkStart w:id="17" w:name="X7a11f639dd9c9bda44d9d4342315d0149cd9fe6"/>
    <w:p>
      <w:pPr>
        <w:pStyle w:val="Heading2"/>
      </w:pPr>
      <w:r>
        <w:t xml:space="preserve">5. Valuation &amp; Sentiment</w:t>
      </w:r>
    </w:p>
    <w:p>
      <w:pPr>
        <w:pStyle w:val="Compact"/>
        <w:numPr>
          <w:ilvl w:val="0"/>
          <w:numId w:val="1007"/>
        </w:numPr>
      </w:pPr>
      <w:r>
        <w:t xml:space="preserve">At **</w:t>
      </w:r>
      <m:oMath>
        <m:r>
          <m:t>21.65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C</m:t>
        </m:r>
        <m:r>
          <m:t>t</m:t>
        </m:r>
        <m:r>
          <m:t>r</m:t>
        </m:r>
        <m:r>
          <m:t>a</m:t>
        </m:r>
        <m:r>
          <m:t>d</m:t>
        </m:r>
        <m:r>
          <m:t>e</m:t>
        </m:r>
        <m:r>
          <m:t>s</m:t>
        </m:r>
        <m:r>
          <m:t>a</m:t>
        </m:r>
        <m:r>
          <m:t>t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12.5</m:t>
        </m:r>
        <m:r>
          <m:t>x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h</m:t>
        </m:r>
        <m:r>
          <m:t>e</m:t>
        </m:r>
        <m:r>
          <m:t>F</m:t>
        </m:r>
        <m:r>
          <m:t>Y</m:t>
        </m:r>
        <m:r>
          <m:t>2026</m:t>
        </m:r>
        <m:r>
          <m:t>F</m:t>
        </m:r>
        <m:r>
          <m:t>F</m:t>
        </m:r>
        <m:r>
          <m:t>O</m:t>
        </m:r>
        <m:r>
          <m:rPr>
            <m:sty m:val="p"/>
          </m:rPr>
          <m:t>−</m:t>
        </m:r>
        <m:r>
          <m:t>a</m:t>
        </m:r>
        <m:r>
          <m:t>s</m:t>
        </m:r>
        <m:r>
          <m:rPr>
            <m:sty m:val="p"/>
          </m:rPr>
          <m:t>−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1.73) — a re-rating from the ~9–10x range earlier in the year, largely driven by the Janus value-crystallization thesis.</w:t>
      </w:r>
    </w:p>
    <w:p>
      <w:pPr>
        <w:pStyle w:val="Compact"/>
        <w:numPr>
          <w:ilvl w:val="0"/>
          <w:numId w:val="1007"/>
        </w:numPr>
      </w:pPr>
      <w:r>
        <w:t xml:space="preserve">The **</w:t>
      </w:r>
      <m:oMath>
        <m:r>
          <m:t>1.22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n</m:t>
        </m:r>
        <m:r>
          <m:t>o</m:t>
        </m:r>
        <m:r>
          <m:t>w</m:t>
        </m:r>
        <m:r>
          <m:t>y</m:t>
        </m:r>
        <m:r>
          <m:t>i</m:t>
        </m:r>
        <m:r>
          <m:t>e</m:t>
        </m:r>
        <m:r>
          <m:t>l</m:t>
        </m:r>
        <m:r>
          <m:t>d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5.6</m:t>
        </m:r>
      </m:oMath>
      <w:r>
        <w:t xml:space="preserve">16).</w:t>
      </w:r>
    </w:p>
    <w:p>
      <w:pPr>
        <w:pStyle w:val="Compact"/>
        <w:numPr>
          <w:ilvl w:val="0"/>
          <w:numId w:val="1007"/>
        </w:numPr>
      </w:pPr>
      <w:r>
        <w:t xml:space="preserve">The stock has quietly ground higher into the print (from ~</w:t>
      </w:r>
      <m:oMath>
        <m:r>
          <m:t>19.5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M</m:t>
        </m:r>
        <m:r>
          <m:t>a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22 in late July), so</w:t>
      </w:r>
      <w:r>
        <w:t xml:space="preserve"> </w:t>
      </w:r>
      <w:r>
        <w:rPr>
          <w:b/>
          <w:bCs/>
        </w:rPr>
        <w:t xml:space="preserve">expectations have risen</w:t>
      </w:r>
      <w:r>
        <w:t xml:space="preserve"> </w:t>
      </w:r>
      <w:r>
        <w:t xml:space="preserve">— the bar for a positive reaction is higher than it was three months ago. Note shares slipped from ~$22.8 (Jul 28) to $21.65 (Aug 3) heading in.</w:t>
      </w:r>
    </w:p>
    <w:p>
      <w:r>
        <w:pict>
          <v:rect style="width:0;height:1.5pt" o:hralign="center" o:hrstd="t" o:hr="t"/>
        </w:pict>
      </w:r>
    </w:p>
    <w:bookmarkEnd w:id="17"/>
    <w:bookmarkStart w:id="18" w:name="Xcd2e5cac111f6c0f89fa060c6f80c4f88eb7bd1"/>
    <w:p>
      <w:pPr>
        <w:pStyle w:val="Heading2"/>
      </w:pPr>
      <w:r>
        <w:t xml:space="preserve">6. Key Risks / Things That Could Go Wrong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Lab occupancy stalls.</w:t>
      </w:r>
      <w:r>
        <w:t xml:space="preserve"> </w:t>
      </w:r>
      <w:r>
        <w:t xml:space="preserve">If the +100 bps year-end target starts looking shaky (delayed commencements, new tenant credit failures), the entire "pendulum is swinging" narrative takes a hit.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Sentiment/valuation risk.</w:t>
      </w:r>
      <w:r>
        <w:t xml:space="preserve"> </w:t>
      </w:r>
      <w:r>
        <w:t xml:space="preserve">After a 34% YTD run, an in-line ~$0.43 FFO print with no guidance raise could disappoint a stock that's priced in good news.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Rate headwinds accelerate.</w:t>
      </w:r>
      <w:r>
        <w:t xml:space="preserve"> </w:t>
      </w:r>
      <w:r>
        <w:t xml:space="preserve">The June refi and higher-for-longer rates pressure H2 earnings; macro/Fed commentary matters.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Janus complexity.</w:t>
      </w:r>
      <w:r>
        <w:t xml:space="preserve"> </w:t>
      </w:r>
      <w:r>
        <w:t xml:space="preserve">Consolidation optics, minority-interest deductions, and undeployed-cash drag can muddy the headline — management will need to keep bridging investors to the "clean" run-rate.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Broader macro/policy noise.</w:t>
      </w:r>
      <w:r>
        <w:t xml:space="preserve"> </w:t>
      </w:r>
      <w:r>
        <w:t xml:space="preserve">Healthcare policy (drug pricing / MFN), life-science funding volatility, and the general REIT rate backdrop remain wild cards.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core question for Q2 isn't the headline FFO number — a</w:t>
      </w:r>
      <w:r>
        <w:t xml:space="preserve"> </w:t>
      </w:r>
      <w:r>
        <w:rPr>
          <w:b/>
          <w:bCs/>
        </w:rPr>
        <w:t xml:space="preserve">~</w:t>
      </w:r>
      <m:oMath>
        <m:r>
          <m:t>0.42</m:t>
        </m:r>
        <m:r>
          <m:rPr>
            <m:sty m:val="p"/>
          </m:rPr>
          <m:t>–</m:t>
        </m:r>
      </m:oMath>
      <w:r>
        <w:rPr>
          <w:b/>
          <w:bCs/>
        </w:rPr>
        <w:t xml:space="preserve">0.43 print is expected and shouldn't be read as a miss</w:t>
      </w:r>
      <w:r>
        <w:t xml:space="preserve"> </w:t>
      </w:r>
      <w:r>
        <w:t xml:space="preserve">given Q1 was front-loaded. The report is really a</w:t>
      </w:r>
      <w:r>
        <w:t xml:space="preserve"> </w:t>
      </w:r>
      <w:r>
        <w:rPr>
          <w:b/>
          <w:bCs/>
        </w:rPr>
        <w:t xml:space="preserve">checkpoint on three things</w:t>
      </w:r>
      <w:r>
        <w:t xml:space="preserve">: (1) is</w:t>
      </w:r>
      <w:r>
        <w:t xml:space="preserve"> </w:t>
      </w:r>
      <w:r>
        <w:rPr>
          <w:b/>
          <w:bCs/>
        </w:rPr>
        <w:t xml:space="preserve">lab occupancy</w:t>
      </w:r>
      <w:r>
        <w:t xml:space="preserve"> </w:t>
      </w:r>
      <w:r>
        <w:t xml:space="preserve">genuinely inflecting toward the +100 bps year-end goal; (2) is management</w:t>
      </w:r>
      <w:r>
        <w:t xml:space="preserve"> </w:t>
      </w:r>
      <w:r>
        <w:rPr>
          <w:b/>
          <w:bCs/>
        </w:rPr>
        <w:t xml:space="preserve">executing the $700M+ recycling pipeline</w:t>
      </w:r>
      <w:r>
        <w:t xml:space="preserve"> </w:t>
      </w:r>
      <w:r>
        <w:t xml:space="preserve">and deploying Janus cash into accretive senior housing deals; and (3) does the outlook support the stock's meaningful</w:t>
      </w:r>
      <w:r>
        <w:t xml:space="preserve"> </w:t>
      </w:r>
      <w:r>
        <w:rPr>
          <w:b/>
          <w:bCs/>
        </w:rPr>
        <w:t xml:space="preserve">re-rating</w:t>
      </w:r>
      <w:r>
        <w:t xml:space="preserve">. Outpatient medical should again be rock-solid, senior housing (Janus) should again be the growth star, and the swing vote — as it has been for two years — is life science.</w:t>
      </w:r>
    </w:p>
    <w:p>
      <w:pPr>
        <w:pStyle w:val="BodyText"/>
      </w:pPr>
      <w:r>
        <w:rPr>
          <w:i/>
          <w:iCs/>
        </w:rPr>
        <w:t xml:space="preserve">Note: A separate Janus Living (JAN) earnings call typically follows Healthpeak's and will carry the detailed senior housing metrics; investors should treat the two calls as a pair.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preview is based on Healthpeak's Q1 2026 and Q2 2025 earnings materials, transcripts, and market data through Aug 3, 2026. Figures are as reported by the company; forward statements reflect management guidance, not outcomes. This is informational analysis, not investment advice.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2026-08-04T01:54:24Z</dcterms:created>
  <dcterms:modified xsi:type="dcterms:W3CDTF">2026-08-04T01:54:24Z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