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c-earnings-predictions--2026-08-04"/>
    <w:p>
      <w:pPr>
        <w:pStyle w:val="Heading1"/>
      </w:pPr>
      <w:r>
        <w:t xml:space="preserve">DOC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as Adjusted per share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~$0.45 vs. cons $0.44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~$734M vs. cons $726M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Lab Same-Store Cash NOI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~-3.5% vs. cons ~-6.0%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 as Adjusted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~$1.73 (reaffirmed</w:t>
            </w:r>
            <w:r>
              <w:t xml:space="preserve"> </w:t>
            </w:r>
            <m:oMath>
              <m:r>
                <m:t>1.71</m:t>
              </m:r>
              <m:r>
                <m:rPr>
                  <m:sty m:val="p"/>
                </m:rPr>
                <m:t>−</m:t>
              </m:r>
            </m:oMath>
            <w:r>
              <w:t xml:space="preserve">1.75 range) vs. cons $1.73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Same-Store Cash NOI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~0.0% (reaffirmed -1.0%/+1.0% range) vs. cons ~0.0%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H2'26 quarterly FFOA run-rate / interest expense cadence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0.42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0.43/share (Q3-Q4 2026, reflecting June $650M note refinancing at higher rates)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 modest Q2 FFOA/revenue beat and incremental Lab stabilization likely drive an initial pop, but the stock has already re-rated ~30-34% since Q1 on deal-flow (Janus IPO, Blackstone/Brookfield JVs), so much of the 'good news' is priced in. The implicit H2 interest-expense drag from refinancing the $650M 3.5% notes at materially higher current rates, plus FY guidance simply being reaffirmed rather than raised again (after the Q1 raise), gives sell-side little room to lift out-period (Q3/Q4 and FY) numbers and some reason to trim them — pulling estimates and the stock back from the day-1 pop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2026-08-04T02:02:54Z</dcterms:created>
  <dcterms:modified xsi:type="dcterms:W3CDTF">2026-08-04T02:02:54Z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