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c-earnings-predictions--2026-08-04"/>
    <w:p>
      <w:pPr>
        <w:pStyle w:val="Heading1"/>
      </w:pPr>
      <w:r>
        <w:t xml:space="preserve">DOC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~$0.45 vs. cons $0.44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lab total occupancy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~77.4% vs. cons 77.5%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same-store adjusted NOI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~0.9% vs. cons 0.7%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FFO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1.75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1.73–$1.77) vs. cons $1.75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same-store adjusted NOI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midpoint (-1.0% to 1.0%) vs. cons 0.3%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Lab total occupancy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~78.0% or better vs. cons 78.2% (year-end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Day-1 residual of +1.8% fades to a +0.7% five-day residual: a modest Q2 FFO beat and stable lab trajectory support the initial reaction, but a ~</w:t>
            </w:r>
            <m:oMath>
              <m:r>
                <m:t>1.75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1.75 consensus implies roughly</w:t>
            </w:r>
            <w:r>
              <w:t xml:space="preserve"> </w:t>
            </w:r>
            <m:oMath>
              <m:r>
                <m:t>0.425</m:t>
              </m:r>
              <m:r>
                <m:t>p</m:t>
              </m:r>
              <m:r>
                <m:t>e</m:t>
              </m:r>
              <m:r>
                <m:t>r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n</m:t>
              </m:r>
              <m:r>
                <m:t>2</m:t>
              </m:r>
              <m:r>
                <m:t>H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w</m:t>
              </m:r>
              <m:r>
                <m:t>o</m:t>
              </m:r>
              <m:r>
                <m:t> </m:t>
              </m:r>
            </m:oMath>
            <w:r>
              <w:t xml:space="preserve">0.45 quarters, limiting upward revisions as refinancing and asset-recycling dilution enter the out-period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2026-08-04T01:54:52Z</dcterms:created>
  <dcterms:modified xsi:type="dcterms:W3CDTF">2026-08-04T01:54:52Z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