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doc-q2-2026-earnings-preview"/>
    <w:p>
      <w:pPr>
        <w:pStyle w:val="Heading1"/>
      </w:pPr>
      <w:r>
        <w:t xml:space="preserve">DOC Q2 2026 Earnings Preview</w:t>
      </w:r>
    </w:p>
    <w:p>
      <w:pPr>
        <w:pStyle w:val="BlockText"/>
      </w:pPr>
      <w:r>
        <w:rPr>
          <w:b/>
          <w:bCs/>
        </w:rPr>
        <w:t xml:space="preserve">Timing clarification:</w:t>
      </w:r>
      <w:r>
        <w:t xml:space="preserve"> </w:t>
      </w:r>
      <w:r>
        <w:t xml:space="preserve">Healthpeak Properties is scheduled to release Q2 results</w:t>
      </w:r>
      <w:r>
        <w:t xml:space="preserve"> </w:t>
      </w:r>
      <w:r>
        <w:rPr>
          <w:b/>
          <w:bCs/>
        </w:rPr>
        <w:t xml:space="preserve">after today’s close, Tuesday, August 4, 2026</w:t>
      </w:r>
      <w:r>
        <w:t xml:space="preserve">. The earnings call is</w:t>
      </w:r>
      <w:r>
        <w:t xml:space="preserve"> </w:t>
      </w:r>
      <w:r>
        <w:rPr>
          <w:b/>
          <w:bCs/>
        </w:rPr>
        <w:t xml:space="preserve">tomorrow, Wednesday, August 5, at 10:00 a.m. ET</w:t>
      </w:r>
      <w:r>
        <w:t xml:space="preserve">. The August 4 event is the release, not the conference call.</w:t>
      </w:r>
    </w:p>
    <w:bookmarkStart w:id="9" w:name="investment-view-going-into-the-report"/>
    <w:p>
      <w:pPr>
        <w:pStyle w:val="Heading2"/>
      </w:pPr>
      <w:r>
        <w:t xml:space="preserve">Investment view going into the report</w:t>
      </w:r>
    </w:p>
    <w:p>
      <w:pPr>
        <w:pStyle w:val="FirstParagraph"/>
      </w:pPr>
      <w:r>
        <w:t xml:space="preserve">The central question is no longer whether Healthpeak can stabilize its story. Q1 established credible momentum across outpatient medical, life science leasing, senior housing and capital allocation. The question now is whether operating results are improving quickly enough to justify the stock’s substantial rerating.</w:t>
      </w:r>
    </w:p>
    <w:p>
      <w:pPr>
        <w:pStyle w:val="BodyText"/>
      </w:pPr>
      <w:r>
        <w:t xml:space="preserve">DOC closed August 3 at</w:t>
      </w:r>
      <w:r>
        <w:t xml:space="preserve"> </w:t>
      </w:r>
      <w:r>
        <w:rPr>
          <w:b/>
          <w:bCs/>
        </w:rPr>
        <w:t xml:space="preserve">$21.65</w:t>
      </w:r>
      <w:r>
        <w:t xml:space="preserve">, up approximately</w:t>
      </w:r>
      <w:r>
        <w:t xml:space="preserve"> </w:t>
      </w:r>
      <w:r>
        <w:rPr>
          <w:b/>
          <w:bCs/>
        </w:rPr>
        <w:t xml:space="preserve">34% year to date</w:t>
      </w:r>
      <w:r>
        <w:t xml:space="preserve"> </w:t>
      </w:r>
      <w:r>
        <w:t xml:space="preserve">and</w:t>
      </w:r>
      <w:r>
        <w:t xml:space="preserve"> </w:t>
      </w:r>
      <w:r>
        <w:rPr>
          <w:b/>
          <w:bCs/>
        </w:rPr>
        <w:t xml:space="preserve">31% since the May 5 Q1 release</w:t>
      </w:r>
      <w:r>
        <w:t xml:space="preserve">. At that price, it trades around</w:t>
      </w:r>
      <w:r>
        <w:t xml:space="preserve"> </w:t>
      </w:r>
      <w:r>
        <w:rPr>
          <w:b/>
          <w:bCs/>
        </w:rPr>
        <w:t xml:space="preserve">12.5x the midpoint of 2026 adjusted FFO guidance</w:t>
      </w:r>
      <w:r>
        <w:t xml:space="preserve"> </w:t>
      </w:r>
      <w:r>
        <w:t xml:space="preserve">and yields approximately</w:t>
      </w:r>
      <w:r>
        <w:t xml:space="preserve"> </w:t>
      </w:r>
      <w:r>
        <w:rPr>
          <w:b/>
          <w:bCs/>
        </w:rPr>
        <w:t xml:space="preserve">5.6%</w:t>
      </w:r>
      <w:r>
        <w:t xml:space="preserve">.</w:t>
      </w:r>
    </w:p>
    <w:p>
      <w:pPr>
        <w:pStyle w:val="BodyText"/>
      </w:pPr>
      <w:r>
        <w:t xml:space="preserve">That means a routine guidance reaffirmation with mixed operating details may not be enough. Investors will want evidence that:</w:t>
      </w:r>
    </w:p>
    <w:p>
      <w:pPr>
        <w:pStyle w:val="Compact"/>
        <w:numPr>
          <w:ilvl w:val="0"/>
          <w:numId w:val="1001"/>
        </w:numPr>
      </w:pPr>
      <w:r>
        <w:t xml:space="preserve">Lab occupancy is following management’s promised upward trajectory.</w:t>
      </w:r>
    </w:p>
    <w:p>
      <w:pPr>
        <w:pStyle w:val="Compact"/>
        <w:numPr>
          <w:ilvl w:val="0"/>
          <w:numId w:val="1001"/>
        </w:numPr>
      </w:pPr>
      <w:r>
        <w:t xml:space="preserve">Outpatient medical continues to compound at attractive net-effective rents.</w:t>
      </w:r>
    </w:p>
    <w:p>
      <w:pPr>
        <w:pStyle w:val="Compact"/>
        <w:numPr>
          <w:ilvl w:val="0"/>
          <w:numId w:val="1001"/>
        </w:numPr>
      </w:pPr>
      <w:r>
        <w:t xml:space="preserve">Janus Living’s acquisition and operating plans remain on schedule.</w:t>
      </w:r>
    </w:p>
    <w:p>
      <w:pPr>
        <w:pStyle w:val="Compact"/>
        <w:numPr>
          <w:ilvl w:val="0"/>
          <w:numId w:val="1001"/>
        </w:numPr>
      </w:pPr>
      <w:r>
        <w:t xml:space="preserve">Asset-recycling proceeds are arriving without excessive earnings dilution.</w:t>
      </w:r>
    </w:p>
    <w:p>
      <w:pPr>
        <w:pStyle w:val="Compact"/>
        <w:numPr>
          <w:ilvl w:val="0"/>
          <w:numId w:val="1001"/>
        </w:numPr>
      </w:pPr>
      <w:r>
        <w:t xml:space="preserve">Full-year adjusted FFO can move toward—or above—the high end of guidance.</w:t>
      </w:r>
    </w:p>
    <w:bookmarkEnd w:id="9"/>
    <w:bookmarkStart w:id="10" w:name="earnings-benchmark"/>
    <w:p>
      <w:pPr>
        <w:pStyle w:val="Heading2"/>
      </w:pPr>
      <w:r>
        <w:t xml:space="preserve">Earnings benchmark</w:t>
      </w:r>
    </w:p>
    <w:p>
      <w:pPr>
        <w:pStyle w:val="FirstParagraph"/>
      </w:pPr>
      <w:r>
        <w:t xml:space="preserve">Healthpeak’s 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Adjusted FFO/share</w:t>
            </w:r>
          </w:p>
        </w:tc>
        <w:tc>
          <w:tcPr/>
          <w:p>
            <w:pPr>
              <w:pStyle w:val="Compact"/>
              <w:jc w:val="right"/>
            </w:pPr>
            <m:oMath>
              <m:r>
                <m:t>1.71</m:t>
              </m:r>
              <m:r>
                <m:rPr>
                  <m:sty m:val="p"/>
                </m:rPr>
                <m:t>–</m:t>
              </m:r>
            </m:oMath>
            <w:r>
              <w:rPr>
                <w:b/>
                <w:bCs/>
              </w:rPr>
              <w:t xml:space="preserve">1.75</w:t>
            </w:r>
          </w:p>
        </w:tc>
      </w:tr>
      <w:tr>
        <w:tc>
          <w:tcPr/>
          <w:p>
            <w:pPr>
              <w:pStyle w:val="Compact"/>
            </w:pPr>
            <w:r>
              <w:t xml:space="preserve">Nareit FFO/share</w:t>
            </w:r>
          </w:p>
        </w:tc>
        <w:tc>
          <w:tcPr/>
          <w:p>
            <w:pPr>
              <w:pStyle w:val="Compact"/>
              <w:jc w:val="right"/>
            </w:pPr>
            <m:oMath>
              <m:r>
                <m:t>1.68</m:t>
              </m:r>
              <m:r>
                <m:rPr>
                  <m:sty m:val="p"/>
                </m:rPr>
                <m:t>–</m:t>
              </m:r>
            </m:oMath>
            <w:r>
              <w:rPr>
                <w:b/>
                <w:bCs/>
              </w:rPr>
              <w:t xml:space="preserve">1.72</w:t>
            </w:r>
          </w:p>
        </w:tc>
      </w:tr>
      <w:tr>
        <w:tc>
          <w:tcPr/>
          <w:p>
            <w:pPr>
              <w:pStyle w:val="Compact"/>
            </w:pPr>
            <w:r>
              <w:t xml:space="preserve">Total same-store adjusted NOI growth</w:t>
            </w:r>
          </w:p>
        </w:tc>
        <w:tc>
          <w:tcPr/>
          <w:p>
            <w:pPr>
              <w:pStyle w:val="Compact"/>
              <w:jc w:val="right"/>
            </w:pPr>
            <w:r>
              <w:rPr>
                <w:b/>
                <w:bCs/>
              </w:rPr>
              <w:t xml:space="preserve">-1% to +1%</w:t>
            </w:r>
          </w:p>
        </w:tc>
      </w:tr>
    </w:tbl>
    <w:p>
      <w:pPr>
        <w:pStyle w:val="BodyText"/>
      </w:pPr>
      <w:r>
        <w:t xml:space="preserve">Q1 adjusted FFO was</w:t>
      </w:r>
      <w:r>
        <w:t xml:space="preserve"> </w:t>
      </w:r>
      <m:oMath>
        <m:r>
          <m:t>0.45</m:t>
        </m:r>
        <m:r>
          <m:t>p</m:t>
        </m:r>
        <m:r>
          <m:t>e</m:t>
        </m:r>
        <m:r>
          <m:t>r</m:t>
        </m:r>
        <m:r>
          <m:t>s</m:t>
        </m:r>
        <m:r>
          <m:t>h</m:t>
        </m:r>
        <m:r>
          <m:t>a</m:t>
        </m:r>
        <m:r>
          <m:t>r</m:t>
        </m:r>
        <m:r>
          <m:t>e</m:t>
        </m:r>
        <m:r>
          <m:rPr>
            <m:sty m:val="p"/>
          </m:rPr>
          <m:t>*</m:t>
        </m:r>
        <m:r>
          <m:rPr>
            <m:sty m:val="p"/>
          </m:rPr>
          <m:t>*</m:t>
        </m:r>
        <m:r>
          <m:rPr>
            <m:sty m:val="p"/>
          </m:rPr>
          <m:t>.</m:t>
        </m:r>
        <m:r>
          <m:t>M</m:t>
        </m:r>
        <m:r>
          <m:t>a</m:t>
        </m:r>
        <m:r>
          <m:t>n</m:t>
        </m:r>
        <m:r>
          <m:t>a</m:t>
        </m:r>
        <m:r>
          <m:t>g</m:t>
        </m:r>
        <m:r>
          <m:t>e</m:t>
        </m:r>
        <m:r>
          <m:t>m</m:t>
        </m:r>
        <m:r>
          <m:t>e</m:t>
        </m:r>
        <m:r>
          <m:t>n</m:t>
        </m:r>
        <m:r>
          <m:t>t</m:t>
        </m:r>
        <m:r>
          <m:t>i</m:t>
        </m:r>
        <m:r>
          <m:t>n</m:t>
        </m:r>
        <m:r>
          <m:t>d</m:t>
        </m:r>
        <m:r>
          <m:t>i</m:t>
        </m:r>
        <m:r>
          <m:t>c</m:t>
        </m:r>
        <m:r>
          <m:t>a</m:t>
        </m:r>
        <m:r>
          <m:t>t</m:t>
        </m:r>
        <m:r>
          <m:t>e</m:t>
        </m:r>
        <m:r>
          <m:t>d</m:t>
        </m:r>
        <m:r>
          <m:t>t</m:t>
        </m:r>
        <m:r>
          <m:t>h</m:t>
        </m:r>
        <m:r>
          <m:t>a</m:t>
        </m:r>
        <m:r>
          <m:t>t</m:t>
        </m:r>
        <m:r>
          <m:t>Q</m:t>
        </m:r>
        <m:r>
          <m:t>1</m:t>
        </m:r>
        <m:r>
          <m:t>w</m:t>
        </m:r>
        <m:r>
          <m:t>a</m:t>
        </m:r>
        <m:r>
          <m:t>s</m:t>
        </m:r>
        <m:r>
          <m:t>s</m:t>
        </m:r>
        <m:r>
          <m:t>o</m:t>
        </m:r>
        <m:r>
          <m:t>m</m:t>
        </m:r>
        <m:r>
          <m:t>e</m:t>
        </m:r>
        <m:r>
          <m:t>w</m:t>
        </m:r>
        <m:r>
          <m:t>h</m:t>
        </m:r>
        <m:r>
          <m:t>a</m:t>
        </m:r>
        <m:r>
          <m:t>t</m:t>
        </m:r>
        <m:r>
          <m:t>e</m:t>
        </m:r>
        <m:r>
          <m:t>l</m:t>
        </m:r>
        <m:r>
          <m:t>e</m:t>
        </m:r>
        <m:r>
          <m:t>v</m:t>
        </m:r>
        <m:r>
          <m:t>a</m:t>
        </m:r>
        <m:r>
          <m:t>t</m:t>
        </m:r>
        <m:r>
          <m:t>e</m:t>
        </m:r>
        <m:r>
          <m:t>d</m:t>
        </m:r>
        <m:r>
          <m:t>a</m:t>
        </m:r>
        <m:r>
          <m:t>n</m:t>
        </m:r>
        <m:r>
          <m:t>d</m:t>
        </m:r>
        <m:r>
          <m:t>d</m:t>
        </m:r>
        <m:r>
          <m:t>e</m:t>
        </m:r>
        <m:r>
          <m:t>s</m:t>
        </m:r>
        <m:r>
          <m:t>c</m:t>
        </m:r>
        <m:r>
          <m:t>r</m:t>
        </m:r>
        <m:r>
          <m:t>i</m:t>
        </m:r>
        <m:r>
          <m:t>b</m:t>
        </m:r>
        <m:r>
          <m:t>e</m:t>
        </m:r>
        <m:r>
          <m:t>d</m:t>
        </m:r>
        <m:r>
          <m:t>t</m:t>
        </m:r>
        <m:r>
          <m:t>h</m:t>
        </m:r>
        <m:r>
          <m:t>e</m:t>
        </m:r>
        <m:r>
          <m:t>r</m:t>
        </m:r>
        <m:r>
          <m:t>e</m:t>
        </m:r>
        <m:r>
          <m:t>m</m:t>
        </m:r>
        <m:r>
          <m:t>a</m:t>
        </m:r>
        <m:r>
          <m:t>i</m:t>
        </m:r>
        <m:r>
          <m:t>n</m:t>
        </m:r>
        <m:r>
          <m:t>i</m:t>
        </m:r>
        <m:r>
          <m:t>n</m:t>
        </m:r>
        <m:r>
          <m:t>g</m:t>
        </m:r>
        <m:r>
          <m:t>q</m:t>
        </m:r>
        <m:r>
          <m:t>u</m:t>
        </m:r>
        <m:r>
          <m:t>a</m:t>
        </m:r>
        <m:r>
          <m:t>r</m:t>
        </m:r>
        <m:r>
          <m:t>t</m:t>
        </m:r>
        <m:r>
          <m:t>e</m:t>
        </m:r>
        <m:r>
          <m:t>r</m:t>
        </m:r>
        <m:r>
          <m:t>l</m:t>
        </m:r>
        <m:r>
          <m:t>y</m:t>
        </m:r>
        <m:r>
          <m:t>r</m:t>
        </m:r>
        <m:r>
          <m:t>u</m:t>
        </m:r>
        <m:r>
          <m:t>n</m:t>
        </m:r>
        <m:r>
          <m:t>r</m:t>
        </m:r>
        <m:r>
          <m:t>a</m:t>
        </m:r>
        <m:r>
          <m:t>t</m:t>
        </m:r>
        <m:r>
          <m:t>e</m:t>
        </m:r>
        <m:r>
          <m:t>a</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0.43, plus or minus $0.01</w:t>
      </w:r>
      <w:r>
        <w:t xml:space="preserve">.</w:t>
      </w:r>
    </w:p>
    <w:p>
      <w:pPr>
        <w:pStyle w:val="BodyText"/>
      </w:pPr>
      <w:r>
        <w:t xml:space="preserve">Accordingly, a reasonable company-cadence benchmark for Q2 is approximately</w:t>
      </w:r>
      <w:r>
        <w:t xml:space="preserve"> </w:t>
      </w:r>
      <m:oMath>
        <m:r>
          <m:t>0.42</m:t>
        </m:r>
        <m:r>
          <m:rPr>
            <m:sty m:val="p"/>
          </m:rPr>
          <m:t>–</m:t>
        </m:r>
      </m:oMath>
      <w:r>
        <w:rPr>
          <w:b/>
          <w:bCs/>
        </w:rPr>
        <w:t xml:space="preserve">0.44 of adjusted FFO</w:t>
      </w:r>
      <w:r>
        <w:t xml:space="preserve">:</w:t>
      </w:r>
    </w:p>
    <w:p>
      <w:pPr>
        <w:pStyle w:val="Compact"/>
        <w:numPr>
          <w:ilvl w:val="0"/>
          <w:numId w:val="1002"/>
        </w:numPr>
      </w:pPr>
      <w:r>
        <w:rPr>
          <w:b/>
          <w:bCs/>
        </w:rPr>
        <w:t xml:space="preserve">$0.44 or better:</w:t>
      </w:r>
      <w:r>
        <w:t xml:space="preserve"> </w:t>
      </w:r>
      <w:r>
        <w:t xml:space="preserve">constructive, particularly if paired with stronger guidance.</w:t>
      </w:r>
    </w:p>
    <w:p>
      <w:pPr>
        <w:pStyle w:val="Compact"/>
        <w:numPr>
          <w:ilvl w:val="0"/>
          <w:numId w:val="1002"/>
        </w:numPr>
      </w:pPr>
      <m:oMath>
        <m:r>
          <m:t>0.42</m:t>
        </m:r>
        <m:r>
          <m:rPr>
            <m:sty m:val="p"/>
          </m:rPr>
          <m:t>–</m:t>
        </m:r>
      </m:oMath>
      <w:r>
        <w:rPr>
          <w:b/>
          <w:bCs/>
        </w:rPr>
        <w:t xml:space="preserve">0.43:</w:t>
      </w:r>
      <w:r>
        <w:t xml:space="preserve"> </w:t>
      </w:r>
      <w:r>
        <w:t xml:space="preserve">broadly consistent with the existing outlook.</w:t>
      </w:r>
    </w:p>
    <w:p>
      <w:pPr>
        <w:pStyle w:val="Compact"/>
        <w:numPr>
          <w:ilvl w:val="0"/>
          <w:numId w:val="1002"/>
        </w:numPr>
      </w:pPr>
      <w:r>
        <w:rPr>
          <w:b/>
          <w:bCs/>
        </w:rPr>
        <w:t xml:space="preserve">Below $0.42:</w:t>
      </w:r>
      <w:r>
        <w:t xml:space="preserve"> </w:t>
      </w:r>
      <w:r>
        <w:t xml:space="preserve">would raise questions about refinancing costs, transaction timing or operating weakness.</w:t>
      </w:r>
    </w:p>
    <w:p>
      <w:pPr>
        <w:pStyle w:val="FirstParagraph"/>
      </w:pPr>
      <w:r>
        <w:t xml:space="preserve">For a REIT, adjusted FFO, same-store NOI and occupancy are more informative than GAAP EPS, which can be distorted by depreciation and transaction gains.</w:t>
      </w:r>
    </w:p>
    <w:bookmarkEnd w:id="10"/>
    <w:bookmarkStart w:id="12" w:name="X90286d81c0811065e95c96f03a439da30e3ccc2"/>
    <w:p>
      <w:pPr>
        <w:pStyle w:val="Heading2"/>
      </w:pPr>
      <w:r>
        <w:t xml:space="preserve">1. Lab: the most important operating swing factor</w:t>
      </w:r>
    </w:p>
    <w:p>
      <w:pPr>
        <w:pStyle w:val="FirstParagraph"/>
      </w:pPr>
      <w:r>
        <w:t xml:space="preserve">Life science remains the largest source of both risk and upside.</w:t>
      </w:r>
    </w:p>
    <w:p>
      <w:pPr>
        <w:pStyle w:val="BodyText"/>
      </w:pPr>
      <w:r>
        <w:t xml:space="preserve">In Q1:</w:t>
      </w:r>
    </w:p>
    <w:p>
      <w:pPr>
        <w:pStyle w:val="Compact"/>
        <w:numPr>
          <w:ilvl w:val="0"/>
          <w:numId w:val="1003"/>
        </w:numPr>
      </w:pPr>
      <w:r>
        <w:t xml:space="preserve">Lab same-store adjusted NOI declined</w:t>
      </w:r>
      <w:r>
        <w:t xml:space="preserve"> </w:t>
      </w:r>
      <w:r>
        <w:rPr>
          <w:b/>
          <w:bCs/>
        </w:rPr>
        <w:t xml:space="preserve">7.2%</w:t>
      </w:r>
      <w:r>
        <w:t xml:space="preserve"> </w:t>
      </w:r>
      <w:r>
        <w:t xml:space="preserve">year over year.</w:t>
      </w:r>
    </w:p>
    <w:p>
      <w:pPr>
        <w:pStyle w:val="Compact"/>
        <w:numPr>
          <w:ilvl w:val="0"/>
          <w:numId w:val="1003"/>
        </w:numPr>
      </w:pPr>
      <w:r>
        <w:t xml:space="preserve">Management’s broader total-occupancy measure improved sequentially to</w:t>
      </w:r>
      <w:r>
        <w:t xml:space="preserve"> </w:t>
      </w:r>
      <w:r>
        <w:rPr>
          <w:b/>
          <w:bCs/>
        </w:rPr>
        <w:t xml:space="preserve">77.7%</w:t>
      </w:r>
      <w:r>
        <w:t xml:space="preserve">.</w:t>
      </w:r>
    </w:p>
    <w:p>
      <w:pPr>
        <w:pStyle w:val="Compact"/>
        <w:numPr>
          <w:ilvl w:val="0"/>
          <w:numId w:val="1003"/>
        </w:numPr>
      </w:pPr>
      <w:r>
        <w:t xml:space="preserve">Healthpeak executed</w:t>
      </w:r>
      <w:r>
        <w:t xml:space="preserve"> </w:t>
      </w:r>
      <w:r>
        <w:rPr>
          <w:b/>
          <w:bCs/>
        </w:rPr>
        <w:t xml:space="preserve">141,000 square feet</w:t>
      </w:r>
      <w:r>
        <w:t xml:space="preserve"> </w:t>
      </w:r>
      <w:r>
        <w:t xml:space="preserve">of leases, 92% of which was new leasing.</w:t>
      </w:r>
    </w:p>
    <w:p>
      <w:pPr>
        <w:pStyle w:val="Compact"/>
        <w:numPr>
          <w:ilvl w:val="0"/>
          <w:numId w:val="1003"/>
        </w:numPr>
      </w:pPr>
      <w:r>
        <w:t xml:space="preserve">Approximately</w:t>
      </w:r>
      <w:r>
        <w:t xml:space="preserve"> </w:t>
      </w:r>
      <w:r>
        <w:rPr>
          <w:b/>
          <w:bCs/>
        </w:rPr>
        <w:t xml:space="preserve">355,000 square feet</w:t>
      </w:r>
      <w:r>
        <w:t xml:space="preserve"> </w:t>
      </w:r>
      <w:r>
        <w:t xml:space="preserve">was under LOI.</w:t>
      </w:r>
    </w:p>
    <w:p>
      <w:pPr>
        <w:pStyle w:val="Compact"/>
        <w:numPr>
          <w:ilvl w:val="0"/>
          <w:numId w:val="1003"/>
        </w:numPr>
      </w:pPr>
      <w:r>
        <w:t xml:space="preserve">Management expected year-end occupancy to improve by at least</w:t>
      </w:r>
      <w:r>
        <w:t xml:space="preserve"> </w:t>
      </w:r>
      <w:r>
        <w:rPr>
          <w:b/>
          <w:bCs/>
        </w:rPr>
        <w:t xml:space="preserve">100 basis points</w:t>
      </w:r>
      <w:r>
        <w:t xml:space="preserve"> </w:t>
      </w:r>
      <w:r>
        <w:t xml:space="preserve">from year-end 2025.</w:t>
      </w:r>
    </w:p>
    <w:p>
      <w:pPr>
        <w:pStyle w:val="FirstParagraph"/>
      </w:pPr>
      <w:r>
        <w:t xml:space="preserve">The Q2 numbers may still be uneven. Management previously identified roughly</w:t>
      </w:r>
      <w:r>
        <w:t xml:space="preserve"> </w:t>
      </w:r>
      <w:r>
        <w:rPr>
          <w:b/>
          <w:bCs/>
        </w:rPr>
        <w:t xml:space="preserve">50,000 square feet of expected midyear tenant departures</w:t>
      </w:r>
      <w:r>
        <w:t xml:space="preserve">, while more than 500,000 square feet of scheduled commencements were expected to offset approximately 400,000 square feet of 2026 expirations.</w:t>
      </w:r>
    </w:p>
    <w:bookmarkStart w:id="11" w:name="what-matters-in-the-release"/>
    <w:p>
      <w:pPr>
        <w:pStyle w:val="Heading3"/>
      </w:pPr>
      <w:r>
        <w:t xml:space="preserve">What matters in the release</w:t>
      </w:r>
    </w:p>
    <w:p>
      <w:pPr>
        <w:pStyle w:val="Compact"/>
        <w:numPr>
          <w:ilvl w:val="0"/>
          <w:numId w:val="1004"/>
        </w:numPr>
      </w:pPr>
      <w:r>
        <w:t xml:space="preserve">Sequential occupancy, both reported and adjusted for development/redevelopment assets.</w:t>
      </w:r>
    </w:p>
    <w:p>
      <w:pPr>
        <w:pStyle w:val="Compact"/>
        <w:numPr>
          <w:ilvl w:val="0"/>
          <w:numId w:val="1004"/>
        </w:numPr>
      </w:pPr>
      <w:r>
        <w:t xml:space="preserve">Signed leases and LOIs converted into binding commitments.</w:t>
      </w:r>
    </w:p>
    <w:p>
      <w:pPr>
        <w:pStyle w:val="Compact"/>
        <w:numPr>
          <w:ilvl w:val="0"/>
          <w:numId w:val="1004"/>
        </w:numPr>
      </w:pPr>
      <w:r>
        <w:t xml:space="preserve">The amount of signed-but-not-yet-occupied space.</w:t>
      </w:r>
    </w:p>
    <w:p>
      <w:pPr>
        <w:pStyle w:val="Compact"/>
        <w:numPr>
          <w:ilvl w:val="0"/>
          <w:numId w:val="1004"/>
        </w:numPr>
      </w:pPr>
      <w:r>
        <w:t xml:space="preserve">Leasing economics, including tenant improvements and concessions—not just face rents.</w:t>
      </w:r>
    </w:p>
    <w:p>
      <w:pPr>
        <w:pStyle w:val="Compact"/>
        <w:numPr>
          <w:ilvl w:val="0"/>
          <w:numId w:val="1004"/>
        </w:numPr>
      </w:pPr>
      <w:r>
        <w:t xml:space="preserve">Progress at the recently acquired Gateway campus in South San Francisco.</w:t>
      </w:r>
    </w:p>
    <w:p>
      <w:pPr>
        <w:pStyle w:val="Compact"/>
        <w:numPr>
          <w:ilvl w:val="0"/>
          <w:numId w:val="1004"/>
        </w:numPr>
      </w:pPr>
      <w:r>
        <w:t xml:space="preserve">Any change to the year-end occupancy target.</w:t>
      </w:r>
    </w:p>
    <w:p>
      <w:pPr>
        <w:pStyle w:val="Compact"/>
        <w:numPr>
          <w:ilvl w:val="0"/>
          <w:numId w:val="1004"/>
        </w:numPr>
      </w:pPr>
      <w:r>
        <w:t xml:space="preserve">Commentary on 2027 expirations and likely tenant retention.</w:t>
      </w:r>
    </w:p>
    <w:p>
      <w:pPr>
        <w:pStyle w:val="FirstParagraph"/>
      </w:pPr>
      <w:r>
        <w:rPr>
          <w:b/>
          <w:bCs/>
        </w:rPr>
        <w:t xml:space="preserve">Best-case outcome:</w:t>
      </w:r>
      <w:r>
        <w:t xml:space="preserve"> </w:t>
      </w:r>
      <w:r>
        <w:t xml:space="preserve">Management raises or strengthens its occupancy outlook and shows that current leasing is producing visible 2027 NOI growth.</w:t>
      </w:r>
    </w:p>
    <w:p>
      <w:pPr>
        <w:pStyle w:val="BodyText"/>
      </w:pPr>
      <w:r>
        <w:rPr>
          <w:b/>
          <w:bCs/>
        </w:rPr>
        <w:t xml:space="preserve">Warning sign:</w:t>
      </w:r>
      <w:r>
        <w:t xml:space="preserve"> </w:t>
      </w:r>
      <w:r>
        <w:t xml:space="preserve">A shrinking pipeline, delayed commencements or sharply weaker economics despite optimistic demand commentary.</w:t>
      </w:r>
    </w:p>
    <w:bookmarkEnd w:id="11"/>
    <w:bookmarkEnd w:id="12"/>
    <w:bookmarkStart w:id="13" w:name="Xa2f92fbbc0bf1e6c119e1e5f957b1ef69c9fed0"/>
    <w:p>
      <w:pPr>
        <w:pStyle w:val="Heading2"/>
      </w:pPr>
      <w:r>
        <w:t xml:space="preserve">2. Outpatient medical should remain the stabilizer</w:t>
      </w:r>
    </w:p>
    <w:p>
      <w:pPr>
        <w:pStyle w:val="FirstParagraph"/>
      </w:pPr>
      <w:r>
        <w:t xml:space="preserve">Outpatient medical is the dependable part of the portfolio. Q1 produced:</w:t>
      </w:r>
    </w:p>
    <w:p>
      <w:pPr>
        <w:pStyle w:val="Compact"/>
        <w:numPr>
          <w:ilvl w:val="0"/>
          <w:numId w:val="1005"/>
        </w:numPr>
      </w:pPr>
      <w:r>
        <w:rPr>
          <w:b/>
          <w:bCs/>
        </w:rPr>
        <w:t xml:space="preserve">2.4%</w:t>
      </w:r>
      <w:r>
        <w:t xml:space="preserve"> </w:t>
      </w:r>
      <w:r>
        <w:t xml:space="preserve">same-store adjusted NOI growth.</w:t>
      </w:r>
    </w:p>
    <w:p>
      <w:pPr>
        <w:pStyle w:val="Compact"/>
        <w:numPr>
          <w:ilvl w:val="0"/>
          <w:numId w:val="1005"/>
        </w:numPr>
      </w:pPr>
      <w:r>
        <w:t xml:space="preserve">Approximately</w:t>
      </w:r>
      <w:r>
        <w:t xml:space="preserve"> </w:t>
      </w:r>
      <w:r>
        <w:rPr>
          <w:b/>
          <w:bCs/>
        </w:rPr>
        <w:t xml:space="preserve">91% total occupancy</w:t>
      </w:r>
      <w:r>
        <w:t xml:space="preserve">.</w:t>
      </w:r>
    </w:p>
    <w:p>
      <w:pPr>
        <w:pStyle w:val="Compact"/>
        <w:numPr>
          <w:ilvl w:val="0"/>
          <w:numId w:val="1005"/>
        </w:numPr>
      </w:pPr>
      <w:r>
        <w:rPr>
          <w:b/>
          <w:bCs/>
        </w:rPr>
        <w:t xml:space="preserve">5.4% cash renewal spreads</w:t>
      </w:r>
      <w:r>
        <w:t xml:space="preserve">.</w:t>
      </w:r>
    </w:p>
    <w:p>
      <w:pPr>
        <w:pStyle w:val="Compact"/>
        <w:numPr>
          <w:ilvl w:val="0"/>
          <w:numId w:val="1005"/>
        </w:numPr>
      </w:pPr>
      <w:r>
        <w:t xml:space="preserve">Approximately</w:t>
      </w:r>
      <w:r>
        <w:t xml:space="preserve"> </w:t>
      </w:r>
      <w:r>
        <w:rPr>
          <w:b/>
          <w:bCs/>
        </w:rPr>
        <w:t xml:space="preserve">3% annual escalators</w:t>
      </w:r>
      <w:r>
        <w:t xml:space="preserve">.</w:t>
      </w:r>
    </w:p>
    <w:p>
      <w:pPr>
        <w:pStyle w:val="Compact"/>
        <w:numPr>
          <w:ilvl w:val="0"/>
          <w:numId w:val="1005"/>
        </w:numPr>
      </w:pPr>
      <w:r>
        <w:t xml:space="preserve">Low leasing costs relative to annual rents.</w:t>
      </w:r>
    </w:p>
    <w:p>
      <w:pPr>
        <w:pStyle w:val="Compact"/>
        <w:numPr>
          <w:ilvl w:val="0"/>
          <w:numId w:val="1005"/>
        </w:numPr>
      </w:pPr>
      <w:r>
        <w:t xml:space="preserve">A sizable post-quarter leasing pipeline, including executed leases and roughly 700,000 square feet under LOI.</w:t>
      </w:r>
    </w:p>
    <w:p>
      <w:pPr>
        <w:pStyle w:val="FirstParagraph"/>
      </w:pPr>
      <w:r>
        <w:t xml:space="preserve">Investors should focus on whether Q2 maintains positive renewal spreads without materially higher tenant-improvement costs. Occupancy should also begin benefiting from the strong post-Q1 leasing pipeline.</w:t>
      </w:r>
    </w:p>
    <w:p>
      <w:pPr>
        <w:pStyle w:val="BodyText"/>
      </w:pPr>
      <w:r>
        <w:t xml:space="preserve">A quarter with roughly</w:t>
      </w:r>
      <w:r>
        <w:t xml:space="preserve"> </w:t>
      </w:r>
      <w:r>
        <w:rPr>
          <w:b/>
          <w:bCs/>
        </w:rPr>
        <w:t xml:space="preserve">2%–3% same-store growth</w:t>
      </w:r>
      <w:r>
        <w:t xml:space="preserve">, positive spreads and continued low capital costs would reinforce the segment’s role as a reliable cash-flow compounder.</w:t>
      </w:r>
    </w:p>
    <w:p>
      <w:pPr>
        <w:pStyle w:val="BodyText"/>
      </w:pPr>
      <w:r>
        <w:t xml:space="preserve">Also watch for additional outpatient joint ventures. Healthpeak said it was pursuing transactions capable of generating</w:t>
      </w:r>
      <w:r>
        <w:t xml:space="preserve"> </w:t>
      </w:r>
      <w:r>
        <w:rPr>
          <w:b/>
          <w:bCs/>
        </w:rPr>
        <w:t xml:space="preserve">$700 million or more of proceeds</w:t>
      </w:r>
      <w:r>
        <w:t xml:space="preserve">, following the Blackstone recapitalization completed at a 6.1% cash cap rate. Closing these transactions near indicated pricing would support management’s argument that DOC’s private-market asset values exceed its public valuation.</w:t>
      </w:r>
    </w:p>
    <w:bookmarkEnd w:id="13"/>
    <w:bookmarkStart w:id="14" w:name="X830064948718e4207fd03e5f4b2229aa99d8e09"/>
    <w:p>
      <w:pPr>
        <w:pStyle w:val="Heading2"/>
      </w:pPr>
      <w:r>
        <w:t xml:space="preserve">3. Janus Living has become central to the valuation</w:t>
      </w:r>
    </w:p>
    <w:p>
      <w:pPr>
        <w:pStyle w:val="FirstParagraph"/>
      </w:pPr>
      <w:r>
        <w:t xml:space="preserve">Healthpeak owns approximately</w:t>
      </w:r>
      <w:r>
        <w:t xml:space="preserve"> </w:t>
      </w:r>
      <w:r>
        <w:rPr>
          <w:b/>
          <w:bCs/>
        </w:rPr>
        <w:t xml:space="preserve">81.6% of Janus Living</w:t>
      </w:r>
      <w:r>
        <w:t xml:space="preserve">, which reports after the close today as well. Janus will hold its call Wednesday at noon ET, two hours after DOC’s call.</w:t>
      </w:r>
    </w:p>
    <w:p>
      <w:pPr>
        <w:pStyle w:val="BodyText"/>
      </w:pPr>
      <w:r>
        <w:t xml:space="preserve">Janus entered Q2 with:</w:t>
      </w:r>
    </w:p>
    <w:p>
      <w:pPr>
        <w:pStyle w:val="Compact"/>
        <w:numPr>
          <w:ilvl w:val="0"/>
          <w:numId w:val="1006"/>
        </w:numPr>
      </w:pPr>
      <w:r>
        <w:t xml:space="preserve">2026 adjusted FFO guidance of</w:t>
      </w:r>
      <w:r>
        <w:t xml:space="preserve"> </w:t>
      </w:r>
      <m:oMath>
        <m:r>
          <m:t>0.93</m:t>
        </m:r>
        <m:r>
          <m:rPr>
            <m:sty m:val="p"/>
          </m:rPr>
          <m:t>–</m:t>
        </m:r>
      </m:oMath>
      <w:r>
        <w:rPr>
          <w:b/>
          <w:bCs/>
        </w:rPr>
        <w:t xml:space="preserve">0.97 per share</w:t>
      </w:r>
      <w:r>
        <w:t xml:space="preserve">.</w:t>
      </w:r>
    </w:p>
    <w:p>
      <w:pPr>
        <w:pStyle w:val="Compact"/>
        <w:numPr>
          <w:ilvl w:val="0"/>
          <w:numId w:val="1006"/>
        </w:numPr>
      </w:pPr>
      <w:r>
        <w:t xml:space="preserve">Same-store adjusted NOI growth guidance of</w:t>
      </w:r>
      <w:r>
        <w:t xml:space="preserve"> </w:t>
      </w:r>
      <w:r>
        <w:rPr>
          <w:b/>
          <w:bCs/>
        </w:rPr>
        <w:t xml:space="preserve">11%–15%</w:t>
      </w:r>
      <w:r>
        <w:t xml:space="preserve">.</w:t>
      </w:r>
    </w:p>
    <w:p>
      <w:pPr>
        <w:pStyle w:val="Compact"/>
        <w:numPr>
          <w:ilvl w:val="0"/>
          <w:numId w:val="1006"/>
        </w:numPr>
      </w:pPr>
      <w:r>
        <w:t xml:space="preserve">Approximately</w:t>
      </w:r>
      <w:r>
        <w:t xml:space="preserve"> </w:t>
      </w:r>
      <w:r>
        <w:rPr>
          <w:b/>
          <w:bCs/>
        </w:rPr>
        <w:t xml:space="preserve">$400 million of acquisitions under contract</w:t>
      </w:r>
      <w:r>
        <w:t xml:space="preserve">, assumed to close around June 30.</w:t>
      </w:r>
    </w:p>
    <w:p>
      <w:pPr>
        <w:pStyle w:val="Compact"/>
        <w:numPr>
          <w:ilvl w:val="0"/>
          <w:numId w:val="1006"/>
        </w:numPr>
      </w:pPr>
      <w:r>
        <w:t xml:space="preserve">An additional $350 million of assumed acquisition deployment later in 2026.</w:t>
      </w:r>
    </w:p>
    <w:p>
      <w:pPr>
        <w:pStyle w:val="Compact"/>
        <w:numPr>
          <w:ilvl w:val="0"/>
          <w:numId w:val="1006"/>
        </w:numPr>
      </w:pPr>
      <w:r>
        <w:t xml:space="preserve">Newly transitioned operators across 18 communities, effective April 1.</w:t>
      </w:r>
    </w:p>
    <w:p>
      <w:pPr>
        <w:pStyle w:val="FirstParagraph"/>
      </w:pPr>
      <w:r>
        <w:t xml:space="preserve">The key questions are whether the $400 million acquisition package closed on schedule and whether operator transitions remained stable. Management did not expect a major occupancy benefit from the transitioned portfolio until the second half, potentially Q4, so Q2 should be judged primarily on execution and forward indicators.</w:t>
      </w:r>
    </w:p>
    <w:p>
      <w:pPr>
        <w:pStyle w:val="BodyText"/>
      </w:pPr>
      <w:r>
        <w:t xml:space="preserve">At Janus’s August 3 closing price of</w:t>
      </w:r>
      <w:r>
        <w:t xml:space="preserve"> </w:t>
      </w:r>
      <m:oMath>
        <m:r>
          <m:t>29.56</m:t>
        </m:r>
        <m:r>
          <m:rPr>
            <m:sty m:val="p"/>
          </m:rPr>
          <m:t>*</m:t>
        </m:r>
        <m:r>
          <m:rPr>
            <m:sty m:val="p"/>
          </m:rPr>
          <m:t>*</m:t>
        </m:r>
        <m:r>
          <m:rPr>
            <m:sty m:val="p"/>
          </m:rPr>
          <m:t>,</m:t>
        </m:r>
        <m:r>
          <m:t>H</m:t>
        </m:r>
        <m:r>
          <m:t>e</m:t>
        </m:r>
        <m:r>
          <m:t>a</m:t>
        </m:r>
        <m:r>
          <m:t>l</m:t>
        </m:r>
        <m:r>
          <m:t>t</m:t>
        </m:r>
        <m:r>
          <m:t>h</m:t>
        </m:r>
        <m:r>
          <m:t>p</m:t>
        </m:r>
        <m:r>
          <m:t>e</m:t>
        </m:r>
        <m:r>
          <m:t>a</m:t>
        </m:r>
        <m:r>
          <m:t>k</m:t>
        </m:r>
        <m:r>
          <m:rPr>
            <m:sty m:val="p"/>
          </m:rPr>
          <m:t>’</m:t>
        </m:r>
        <m:r>
          <m:t>s</m:t>
        </m:r>
        <m:r>
          <m:t>a</m:t>
        </m:r>
        <m:r>
          <m:t>p</m:t>
        </m:r>
        <m:r>
          <m:t>p</m:t>
        </m:r>
        <m:r>
          <m:t>r</m:t>
        </m:r>
        <m:r>
          <m:t>o</m:t>
        </m:r>
        <m:r>
          <m:t>x</m:t>
        </m:r>
        <m:r>
          <m:t>i</m:t>
        </m:r>
        <m:r>
          <m:t>m</m:t>
        </m:r>
        <m:r>
          <m:t>a</m:t>
        </m:r>
        <m:r>
          <m:t>t</m:t>
        </m:r>
        <m:r>
          <m:t>e</m:t>
        </m:r>
        <m:r>
          <m:t>l</m:t>
        </m:r>
        <m:r>
          <m:t>y</m:t>
        </m:r>
        <m:r>
          <m:t>214.7</m:t>
        </m:r>
        <m:r>
          <m:t>m</m:t>
        </m:r>
        <m:r>
          <m:t>i</m:t>
        </m:r>
        <m:r>
          <m:t>l</m:t>
        </m:r>
        <m:r>
          <m:t>l</m:t>
        </m:r>
        <m:r>
          <m:t>i</m:t>
        </m:r>
        <m:r>
          <m:t>o</m:t>
        </m:r>
        <m:r>
          <m:t>n</m:t>
        </m:r>
        <m:r>
          <m:rPr>
            <m:sty m:val="p"/>
          </m:rPr>
          <m:t>−</m:t>
        </m:r>
        <m:r>
          <m:t>s</m:t>
        </m:r>
        <m:r>
          <m:t>h</m:t>
        </m:r>
        <m:r>
          <m:t>a</m:t>
        </m:r>
        <m:r>
          <m:t>r</m:t>
        </m:r>
        <m:r>
          <m:t>e</m:t>
        </m:r>
        <m:r>
          <m:rPr>
            <m:sty m:val="p"/>
          </m:rPr>
          <m:t>/</m:t>
        </m:r>
        <m:r>
          <m:t>u</m:t>
        </m:r>
        <m:r>
          <m:t>n</m:t>
        </m:r>
        <m:r>
          <m:t>i</m:t>
        </m:r>
        <m:r>
          <m:t>t</m:t>
        </m:r>
        <m:r>
          <m:t>i</m:t>
        </m:r>
        <m:r>
          <m:t>n</m:t>
        </m:r>
        <m:r>
          <m:t>t</m:t>
        </m:r>
        <m:r>
          <m:t>e</m:t>
        </m:r>
        <m:r>
          <m:t>r</m:t>
        </m:r>
        <m:r>
          <m:t>e</m:t>
        </m:r>
        <m:r>
          <m:t>s</m:t>
        </m:r>
        <m:r>
          <m:t>t</m:t>
        </m:r>
        <m:r>
          <m:t>h</m:t>
        </m:r>
        <m:r>
          <m:t>a</m:t>
        </m:r>
        <m:r>
          <m:t>s</m:t>
        </m:r>
        <m:r>
          <m:t>a</m:t>
        </m:r>
        <m:r>
          <m:t>g</m:t>
        </m:r>
        <m:r>
          <m:t>r</m:t>
        </m:r>
        <m:r>
          <m:t>o</m:t>
        </m:r>
        <m:r>
          <m:t>s</m:t>
        </m:r>
        <m:r>
          <m:t>s</m:t>
        </m:r>
        <m:r>
          <m:t>m</m:t>
        </m:r>
        <m:r>
          <m:t>a</m:t>
        </m:r>
        <m:r>
          <m:t>r</m:t>
        </m:r>
        <m:r>
          <m:t>k</m:t>
        </m:r>
        <m:r>
          <m:t>e</m:t>
        </m:r>
        <m:r>
          <m:t>t</m:t>
        </m:r>
        <m:r>
          <m:t>v</m:t>
        </m:r>
        <m:r>
          <m:t>a</m:t>
        </m:r>
        <m:r>
          <m:t>l</m:t>
        </m:r>
        <m:r>
          <m:t>u</m:t>
        </m:r>
        <m:r>
          <m:t>e</m:t>
        </m:r>
        <m:r>
          <m:t>o</m:t>
        </m:r>
        <m:r>
          <m:t>f</m:t>
        </m:r>
        <m:r>
          <m:t>r</m:t>
        </m:r>
        <m:r>
          <m:t>o</m:t>
        </m:r>
        <m:r>
          <m:t>u</m:t>
        </m:r>
        <m:r>
          <m:t>g</m:t>
        </m:r>
        <m:r>
          <m:t>h</m:t>
        </m:r>
        <m:r>
          <m:t>l</m:t>
        </m:r>
        <m:r>
          <m:t>y</m:t>
        </m:r>
        <m:r>
          <m:rPr>
            <m:sty m:val="p"/>
          </m:rPr>
          <m:t>*</m:t>
        </m:r>
        <m:r>
          <m:rPr>
            <m:sty m:val="p"/>
          </m:rPr>
          <m:t>*</m:t>
        </m:r>
      </m:oMath>
      <w:r>
        <w:rPr>
          <w:b/>
          <w:bCs/>
        </w:rPr>
        <w:t xml:space="preserve">6.35 billion</w:t>
      </w:r>
      <w:r>
        <w:t xml:space="preserve">, or about</w:t>
      </w:r>
      <w:r>
        <w:t xml:space="preserve"> </w:t>
      </w:r>
      <w:r>
        <w:rPr>
          <w:b/>
          <w:bCs/>
        </w:rPr>
        <w:t xml:space="preserve">$9.20 per DOC share</w:t>
      </w:r>
      <w:r>
        <w:t xml:space="preserve">. That is not an incremental asset to simply add to DOC’s consolidated value, but it is an important source of valuation transparency—and Janus’s stock has risen approximately 25% from its first trading-day close.</w:t>
      </w:r>
    </w:p>
    <w:bookmarkEnd w:id="14"/>
    <w:bookmarkStart w:id="15" w:name="X2f0b0b91f93a9134c67352ea25646904929954b"/>
    <w:p>
      <w:pPr>
        <w:pStyle w:val="Heading2"/>
      </w:pPr>
      <w:r>
        <w:t xml:space="preserve">4. Guidance and capital allocation will drive the reaction</w:t>
      </w:r>
    </w:p>
    <w:p>
      <w:pPr>
        <w:pStyle w:val="FirstParagraph"/>
      </w:pPr>
      <w:r>
        <w:t xml:space="preserve">The current adjusted FFO range leaves room for a modest raise if operating performance and transaction timing have been favorable. However, several offsets need to be considered:</w:t>
      </w:r>
    </w:p>
    <w:p>
      <w:pPr>
        <w:pStyle w:val="Compact"/>
        <w:numPr>
          <w:ilvl w:val="0"/>
          <w:numId w:val="1007"/>
        </w:numPr>
      </w:pPr>
      <w:r>
        <w:t xml:space="preserve">The refinancing of approximately</w:t>
      </w:r>
      <w:r>
        <w:t xml:space="preserve"> </w:t>
      </w:r>
      <w:r>
        <w:rPr>
          <w:b/>
          <w:bCs/>
        </w:rPr>
        <w:t xml:space="preserve">$650 million of low-cost debt</w:t>
      </w:r>
      <w:r>
        <w:t xml:space="preserve"> </w:t>
      </w:r>
      <w:r>
        <w:t xml:space="preserve">was expected to create a second-half interest-expense headwind.</w:t>
      </w:r>
    </w:p>
    <w:p>
      <w:pPr>
        <w:pStyle w:val="Compact"/>
        <w:numPr>
          <w:ilvl w:val="0"/>
          <w:numId w:val="1007"/>
        </w:numPr>
      </w:pPr>
      <w:r>
        <w:t xml:space="preserve">Asset sales and joint-venture recaps reduce near-term earnings until proceeds are redeployed.</w:t>
      </w:r>
    </w:p>
    <w:p>
      <w:pPr>
        <w:pStyle w:val="Compact"/>
        <w:numPr>
          <w:ilvl w:val="0"/>
          <w:numId w:val="1007"/>
        </w:numPr>
      </w:pPr>
      <w:r>
        <w:t xml:space="preserve">Janus’s IPO cash initially created earnings drag.</w:t>
      </w:r>
    </w:p>
    <w:p>
      <w:pPr>
        <w:pStyle w:val="Compact"/>
        <w:numPr>
          <w:ilvl w:val="0"/>
          <w:numId w:val="1007"/>
        </w:numPr>
      </w:pPr>
      <w:r>
        <w:t xml:space="preserve">Healthpeak already repurchased</w:t>
      </w:r>
      <w:r>
        <w:t xml:space="preserve"> </w:t>
      </w:r>
      <m:oMath>
        <m:r>
          <m:t>100</m:t>
        </m:r>
        <m:r>
          <m:t>m</m:t>
        </m:r>
        <m:r>
          <m:t>i</m:t>
        </m:r>
        <m:r>
          <m:t>l</m:t>
        </m:r>
        <m:r>
          <m:t>l</m:t>
        </m:r>
        <m:r>
          <m:t>i</m:t>
        </m:r>
        <m:r>
          <m:t>o</m:t>
        </m:r>
        <m:r>
          <m:t>n</m:t>
        </m:r>
        <m:r>
          <m:t>o</m:t>
        </m:r>
        <m:r>
          <m:t>f</m:t>
        </m:r>
        <m:r>
          <m:t>s</m:t>
        </m:r>
        <m:r>
          <m:t>t</m:t>
        </m:r>
        <m:r>
          <m:t>o</m:t>
        </m:r>
        <m:r>
          <m:t>c</m:t>
        </m:r>
        <m:r>
          <m:t>k</m:t>
        </m:r>
        <m:r>
          <m:t>a</m:t>
        </m:r>
        <m:r>
          <m:t>t</m:t>
        </m:r>
        <m:r>
          <m:rPr>
            <m:sty m:val="p"/>
          </m:rPr>
          <m:t>*</m:t>
        </m:r>
        <m:r>
          <m:rPr>
            <m:sty m:val="p"/>
          </m:rPr>
          <m:t>*</m:t>
        </m:r>
      </m:oMath>
      <w:r>
        <w:t xml:space="preserve">16.81**, well below today’s price, making further buybacks less obviously attractive.</w:t>
      </w:r>
    </w:p>
    <w:p>
      <w:pPr>
        <w:pStyle w:val="FirstParagraph"/>
      </w:pPr>
      <w:r>
        <w:t xml:space="preserve">The strongest report would combine an FFO beat with an improved full-year outlook, rather than merely benefiting from timing. Investors should therefore examine the bridge between operating outperformance, interest expense, asset sales and capital deployment.</w:t>
      </w:r>
    </w:p>
    <w:bookmarkEnd w:id="15"/>
    <w:bookmarkStart w:id="16" w:name="scenario-framework"/>
    <w:p>
      <w:pPr>
        <w:pStyle w:val="Heading2"/>
      </w:pPr>
      <w:r>
        <w:t xml:space="preserve">Scenario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would likely include</w:t>
            </w:r>
          </w:p>
        </w:tc>
      </w:tr>
      <w:tr>
        <w:tc>
          <w:tcPr/>
          <w:p>
            <w:pPr>
              <w:pStyle w:val="Compact"/>
            </w:pPr>
            <w:r>
              <w:rPr>
                <w:b/>
                <w:bCs/>
              </w:rPr>
              <w:t xml:space="preserve">Bullish</w:t>
            </w:r>
          </w:p>
        </w:tc>
        <w:tc>
          <w:tcPr/>
          <w:p>
            <w:pPr>
              <w:pStyle w:val="Compact"/>
            </w:pPr>
            <w:r>
              <w:t xml:space="preserve">Adjusted FFO of at least $0.44; guidance raised; lab occupancy and pipeline improve; Janus acquisitions close on schedule; additional recap proceeds become visible.</w:t>
            </w:r>
          </w:p>
        </w:tc>
      </w:tr>
      <w:tr>
        <w:tc>
          <w:tcPr/>
          <w:p>
            <w:pPr>
              <w:pStyle w:val="Compact"/>
            </w:pPr>
            <w:r>
              <w:rPr>
                <w:b/>
                <w:bCs/>
              </w:rPr>
              <w:t xml:space="preserve">Neutral</w:t>
            </w:r>
          </w:p>
        </w:tc>
        <w:tc>
          <w:tcPr/>
          <w:p>
            <w:pPr>
              <w:pStyle w:val="Compact"/>
            </w:pPr>
            <w:r>
              <w:t xml:space="preserve">Adjusted FFO of</w:t>
            </w:r>
            <w:r>
              <w:t xml:space="preserve"> </w:t>
            </w:r>
            <m:oMath>
              <m:r>
                <m:t>0.42</m:t>
              </m:r>
              <m:r>
                <m:rPr>
                  <m:sty m:val="p"/>
                </m:rPr>
                <m:t>–</m:t>
              </m:r>
            </m:oMath>
            <w:r>
              <w:t xml:space="preserve">0.44; guidance reaffirmed; lab occupancy remains choppy but year-end target is maintained; outpatient and senior housing remain strong.</w:t>
            </w:r>
          </w:p>
        </w:tc>
      </w:tr>
      <w:tr>
        <w:tc>
          <w:tcPr/>
          <w:p>
            <w:pPr>
              <w:pStyle w:val="Compact"/>
            </w:pPr>
            <w:r>
              <w:rPr>
                <w:b/>
                <w:bCs/>
              </w:rPr>
              <w:t xml:space="preserve">Bearish</w:t>
            </w:r>
          </w:p>
        </w:tc>
        <w:tc>
          <w:tcPr/>
          <w:p>
            <w:pPr>
              <w:pStyle w:val="Compact"/>
            </w:pPr>
            <w:r>
              <w:t xml:space="preserve">Adjusted FFO below $0.42; lab pipeline fails to convert; occupancy target is softened; Janus acquisitions or capital recycling are delayed; refinancing costs pressure guidance.</w:t>
            </w:r>
          </w:p>
        </w:tc>
      </w:tr>
    </w:tbl>
    <w:bookmarkEnd w:id="16"/>
    <w:bookmarkStart w:id="17" w:name="bottom-line"/>
    <w:p>
      <w:pPr>
        <w:pStyle w:val="Heading2"/>
      </w:pPr>
      <w:r>
        <w:t xml:space="preserve">Bottom line</w:t>
      </w:r>
    </w:p>
    <w:p>
      <w:pPr>
        <w:pStyle w:val="FirstParagraph"/>
      </w:pPr>
      <w:r>
        <w:rPr>
          <w:b/>
          <w:bCs/>
        </w:rPr>
        <w:t xml:space="preserve">Lab occupancy is the key operating KPI, but guidance is likely to determine the stock reaction.</w:t>
      </w:r>
      <w:r>
        <w:t xml:space="preserve"> </w:t>
      </w:r>
      <w:r>
        <w:t xml:space="preserve">Outpatient medical and senior housing already have strong narratives; the next leg of upside requires tangible evidence that lab leasing is moving from pipeline statistics into occupied, rent-paying space.</w:t>
      </w:r>
    </w:p>
    <w:p>
      <w:pPr>
        <w:pStyle w:val="BodyText"/>
      </w:pPr>
      <w:r>
        <w:t xml:space="preserve">With DOC up more than 30% since Q1, expectations are materially higher. A simple “steady quarter” may preserve the thesis, but further appreciation likely requires some combination of a guidance increase, stronger lab visibility and successful capital recycling.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2026-08-04T01:54:52Z</dcterms:created>
  <dcterms:modified xsi:type="dcterms:W3CDTF">2026-08-04T01:54:52Z</dcterms:modified>
</cp:coreProperties>
</file>

<file path=docProps/custom.xml><?xml version="1.0" encoding="utf-8"?>
<Properties xmlns="http://schemas.openxmlformats.org/officeDocument/2006/custom-properties" xmlns:vt="http://schemas.openxmlformats.org/officeDocument/2006/docPropsVTypes"/>
</file>