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0a5d455943ea85fc45b8faeba129e266081d30"/>
    <w:p>
      <w:pPr>
        <w:pStyle w:val="Heading1"/>
      </w:pPr>
      <w:r>
        <w:t xml:space="preserve">Healthpeak Properties (NYSE: DOC) — 2Q26 Earnings Preview</w:t>
      </w:r>
    </w:p>
    <w:p>
      <w:pPr>
        <w:pStyle w:val="BlockText"/>
      </w:pPr>
      <w:r>
        <w:rPr>
          <w:b/>
          <w:bCs/>
        </w:rPr>
        <w:t xml:space="preserve">Timing note:</w:t>
      </w:r>
      <w:r>
        <w:t xml:space="preserve"> </w:t>
      </w:r>
      <w:r>
        <w:t xml:space="preserve">the event date supplied is</w:t>
      </w:r>
      <w:r>
        <w:t xml:space="preserve"> </w:t>
      </w:r>
      <w:r>
        <w:rPr>
          <w:b/>
          <w:bCs/>
        </w:rPr>
        <w:t xml:space="preserve">August 4, 2026</w:t>
      </w:r>
      <w:r>
        <w:t xml:space="preserve">. Since today is also August 4, this preview treats the report as imminent/today rather than “tomorrow.”</w:t>
      </w:r>
    </w:p>
    <w:bookmarkStart w:id="9" w:name="bottom-line"/>
    <w:p>
      <w:pPr>
        <w:pStyle w:val="Heading2"/>
      </w:pPr>
      <w:r>
        <w:t xml:space="preserve">Bottom line</w:t>
      </w:r>
    </w:p>
    <w:p>
      <w:pPr>
        <w:pStyle w:val="FirstParagraph"/>
      </w:pPr>
      <w:r>
        <w:t xml:space="preserve">DOC enters 2Q26 with a meaningfully improved setup versus the start of the year. The core debate has shifted from whether Healthpeak can stabilize its lab portfolio to whether it can translate improving life-science demand, continued outpatient-medical strength, and senior-housing growth into a credible</w:t>
      </w:r>
      <w:r>
        <w:t xml:space="preserve"> </w:t>
      </w:r>
      <w:r>
        <w:rPr>
          <w:b/>
          <w:bCs/>
        </w:rPr>
        <w:t xml:space="preserve">2027 FFO growth narrative</w:t>
      </w:r>
      <w:r>
        <w:t xml:space="preserve">.</w:t>
      </w:r>
    </w:p>
    <w:p>
      <w:pPr>
        <w:pStyle w:val="BodyText"/>
      </w:pPr>
      <w:r>
        <w:t xml:space="preserve">The company’s first-quarter results established three important points:</w:t>
      </w:r>
    </w:p>
    <w:p>
      <w:pPr>
        <w:pStyle w:val="Compact"/>
        <w:numPr>
          <w:ilvl w:val="0"/>
          <w:numId w:val="1001"/>
        </w:numPr>
      </w:pPr>
      <w:r>
        <w:rPr>
          <w:b/>
          <w:bCs/>
        </w:rPr>
        <w:t xml:space="preserve">Outpatient medical remains a durable earnings base</w:t>
      </w:r>
      <w:r>
        <w:t xml:space="preserve">, with positive releasing spreads, 3% escalators, modest leasing costs, and same-store NOI growth.</w:t>
      </w:r>
    </w:p>
    <w:p>
      <w:pPr>
        <w:pStyle w:val="Compact"/>
        <w:numPr>
          <w:ilvl w:val="0"/>
          <w:numId w:val="1001"/>
        </w:numPr>
      </w:pPr>
      <w:r>
        <w:rPr>
          <w:b/>
          <w:bCs/>
        </w:rPr>
        <w:t xml:space="preserve">Lab is still the near-term earnings drag</w:t>
      </w:r>
      <w:r>
        <w:t xml:space="preserve">, but management’s occupancy outlook and leasing pipeline suggest that the operating trough may be nearing an end.</w:t>
      </w:r>
    </w:p>
    <w:p>
      <w:pPr>
        <w:pStyle w:val="Compact"/>
        <w:numPr>
          <w:ilvl w:val="0"/>
          <w:numId w:val="1001"/>
        </w:numPr>
      </w:pPr>
      <w:r>
        <w:rPr>
          <w:b/>
          <w:bCs/>
        </w:rPr>
        <w:t xml:space="preserve">The Janus Living IPO changed the strategic framing.</w:t>
      </w:r>
      <w:r>
        <w:t xml:space="preserve"> </w:t>
      </w:r>
      <w:r>
        <w:t xml:space="preserve">DOC retains an 81.6% economic interest in the senior-housing platform while benefiting from its separate cost of capital and acquisition capacity.</w:t>
      </w:r>
    </w:p>
    <w:p>
      <w:pPr>
        <w:pStyle w:val="FirstParagraph"/>
      </w:pPr>
      <w:r>
        <w:t xml:space="preserve">The stock has already recognized much of the improved narrative—closing at</w:t>
      </w:r>
      <w:r>
        <w:t xml:space="preserve"> </w:t>
      </w:r>
      <w:r>
        <w:rPr>
          <w:b/>
          <w:bCs/>
        </w:rPr>
        <w:t xml:space="preserve">$21.65 on August 3</w:t>
      </w:r>
      <w:r>
        <w:t xml:space="preserve">, up roughly</w:t>
      </w:r>
      <w:r>
        <w:t xml:space="preserve"> </w:t>
      </w:r>
      <w:r>
        <w:rPr>
          <w:b/>
          <w:bCs/>
        </w:rPr>
        <w:t xml:space="preserve">34% year to date</w:t>
      </w:r>
      <w:r>
        <w:t xml:space="preserve">—so the bar is no longer simply a clean quarter. Investors will likely want confirmation that lab occupancy is progressing, senior housing is sustaining its outperformance, capital recycling is on schedule, and 2026 guidance has room to hold or move higher.</w:t>
      </w:r>
    </w:p>
    <w:p>
      <w:r>
        <w:pict>
          <v:rect style="width:0;height:1.5pt" o:hralign="center" o:hrstd="t" o:hr="t"/>
        </w:pict>
      </w:r>
    </w:p>
    <w:bookmarkEnd w:id="9"/>
    <w:bookmarkStart w:id="13" w:name="what-matters-most-this-quarter"/>
    <w:p>
      <w:pPr>
        <w:pStyle w:val="Heading2"/>
      </w:pPr>
      <w:r>
        <w:t xml:space="preserve">What matters most this quarter</w:t>
      </w:r>
    </w:p>
    <w:bookmarkStart w:id="10" w:name="X335a951bab439e12dce81c91723149df1da0bdd"/>
    <w:p>
      <w:pPr>
        <w:pStyle w:val="Heading3"/>
      </w:pPr>
      <w:r>
        <w:t xml:space="preserve">1. Lab leasing and occupancy: the key swing factor</w:t>
      </w:r>
    </w:p>
    <w:p>
      <w:pPr>
        <w:pStyle w:val="FirstParagraph"/>
      </w:pPr>
      <w:r>
        <w:t xml:space="preserve">Lab remains the central issue for DOC. In 1Q26:</w:t>
      </w:r>
    </w:p>
    <w:p>
      <w:pPr>
        <w:pStyle w:val="Compact"/>
        <w:numPr>
          <w:ilvl w:val="0"/>
          <w:numId w:val="1002"/>
        </w:numPr>
      </w:pPr>
      <w:r>
        <w:t xml:space="preserve">Same-store lab adjusted NOI declined</w:t>
      </w:r>
      <w:r>
        <w:t xml:space="preserve"> </w:t>
      </w:r>
      <w:r>
        <w:rPr>
          <w:b/>
          <w:bCs/>
        </w:rPr>
        <w:t xml:space="preserve">7.2% year over year</w:t>
      </w:r>
      <w:r>
        <w:t xml:space="preserve">.</w:t>
      </w:r>
    </w:p>
    <w:p>
      <w:pPr>
        <w:pStyle w:val="Compact"/>
        <w:numPr>
          <w:ilvl w:val="0"/>
          <w:numId w:val="1002"/>
        </w:numPr>
      </w:pPr>
      <w:r>
        <w:t xml:space="preserve">Total lab occupancy was</w:t>
      </w:r>
      <w:r>
        <w:t xml:space="preserve"> </w:t>
      </w:r>
      <w:r>
        <w:rPr>
          <w:b/>
          <w:bCs/>
        </w:rPr>
        <w:t xml:space="preserve">77.7%</w:t>
      </w:r>
      <w:r>
        <w:t xml:space="preserve">, up sequentially from year-end.</w:t>
      </w:r>
    </w:p>
    <w:p>
      <w:pPr>
        <w:pStyle w:val="Compact"/>
        <w:numPr>
          <w:ilvl w:val="0"/>
          <w:numId w:val="1002"/>
        </w:numPr>
      </w:pPr>
      <w:r>
        <w:t xml:space="preserve">Management expected at least</w:t>
      </w:r>
      <w:r>
        <w:t xml:space="preserve"> </w:t>
      </w:r>
      <w:r>
        <w:rPr>
          <w:b/>
          <w:bCs/>
        </w:rPr>
        <w:t xml:space="preserve">100 bps of year-end 2026 occupancy improvement</w:t>
      </w:r>
      <w:r>
        <w:t xml:space="preserve"> </w:t>
      </w:r>
      <w:r>
        <w:t xml:space="preserve">versus year-end 2025.</w:t>
      </w:r>
    </w:p>
    <w:p>
      <w:pPr>
        <w:pStyle w:val="Compact"/>
        <w:numPr>
          <w:ilvl w:val="0"/>
          <w:numId w:val="1002"/>
        </w:numPr>
      </w:pPr>
      <w:r>
        <w:t xml:space="preserve">The company had approximately</w:t>
      </w:r>
      <w:r>
        <w:t xml:space="preserve"> </w:t>
      </w:r>
      <w:r>
        <w:rPr>
          <w:b/>
          <w:bCs/>
        </w:rPr>
        <w:t xml:space="preserve">355,000 square feet under LOI</w:t>
      </w:r>
      <w:r>
        <w:t xml:space="preserve">, roughly 80% of which was new leasing and about 75% tied to currently vacant space.</w:t>
      </w:r>
    </w:p>
    <w:p>
      <w:pPr>
        <w:pStyle w:val="Compact"/>
        <w:numPr>
          <w:ilvl w:val="0"/>
          <w:numId w:val="1002"/>
        </w:numPr>
      </w:pPr>
      <w:r>
        <w:t xml:space="preserve">Management highlighted South San Francisco as the strongest market, with improved activity also emerging in San Diego and West Cambridge.</w:t>
      </w:r>
    </w:p>
    <w:p>
      <w:pPr>
        <w:pStyle w:val="FirstParagraph"/>
      </w:pPr>
      <w:r>
        <w:t xml:space="preserve">The 2Q report should clarify whether the improved pipeline is converting into executed leases and, more importantly, whether near-term commencements support the promised year-end occupancy increase.</w:t>
      </w:r>
    </w:p>
    <w:p>
      <w:pPr>
        <w:pStyle w:val="BodyText"/>
      </w:pPr>
      <w:r>
        <w:rPr>
          <w:b/>
          <w:bCs/>
        </w:rPr>
        <w:t xml:space="preserve">What would be constructive</w:t>
      </w:r>
    </w:p>
    <w:p>
      <w:pPr>
        <w:pStyle w:val="Compact"/>
        <w:numPr>
          <w:ilvl w:val="0"/>
          <w:numId w:val="1003"/>
        </w:numPr>
      </w:pPr>
      <w:r>
        <w:t xml:space="preserve">Sequential growth in lab occupancy.</w:t>
      </w:r>
    </w:p>
    <w:p>
      <w:pPr>
        <w:pStyle w:val="Compact"/>
        <w:numPr>
          <w:ilvl w:val="0"/>
          <w:numId w:val="1003"/>
        </w:numPr>
      </w:pPr>
      <w:r>
        <w:t xml:space="preserve">Evidence that signed leases are commencing as expected.</w:t>
      </w:r>
    </w:p>
    <w:p>
      <w:pPr>
        <w:pStyle w:val="Compact"/>
        <w:numPr>
          <w:ilvl w:val="0"/>
          <w:numId w:val="1003"/>
        </w:numPr>
      </w:pPr>
      <w:r>
        <w:t xml:space="preserve">Stable or improving lease economics, particularly tenant-improvement requirements and net effective rents.</w:t>
      </w:r>
    </w:p>
    <w:p>
      <w:pPr>
        <w:pStyle w:val="Compact"/>
        <w:numPr>
          <w:ilvl w:val="0"/>
          <w:numId w:val="1003"/>
        </w:numPr>
      </w:pPr>
      <w:r>
        <w:t xml:space="preserve">Better visibility on 2027 expirations and potential tenant move-outs.</w:t>
      </w:r>
    </w:p>
    <w:p>
      <w:pPr>
        <w:pStyle w:val="Compact"/>
        <w:numPr>
          <w:ilvl w:val="0"/>
          <w:numId w:val="1003"/>
        </w:numPr>
      </w:pPr>
      <w:r>
        <w:t xml:space="preserve">Continued momentum at Gateway Crossing in South San Francisco.</w:t>
      </w:r>
    </w:p>
    <w:p>
      <w:pPr>
        <w:pStyle w:val="FirstParagraph"/>
      </w:pPr>
      <w:r>
        <w:rPr>
          <w:b/>
          <w:bCs/>
        </w:rPr>
        <w:t xml:space="preserve">What would concern investors</w:t>
      </w:r>
    </w:p>
    <w:p>
      <w:pPr>
        <w:pStyle w:val="Compact"/>
        <w:numPr>
          <w:ilvl w:val="0"/>
          <w:numId w:val="1004"/>
        </w:numPr>
      </w:pPr>
      <w:r>
        <w:t xml:space="preserve">Occupancy stagnation or a new material known vacancy.</w:t>
      </w:r>
    </w:p>
    <w:p>
      <w:pPr>
        <w:pStyle w:val="Compact"/>
        <w:numPr>
          <w:ilvl w:val="0"/>
          <w:numId w:val="1004"/>
        </w:numPr>
      </w:pPr>
      <w:r>
        <w:t xml:space="preserve">Leasing that is concentrated in shorter-term or heavily concessionary deals.</w:t>
      </w:r>
    </w:p>
    <w:p>
      <w:pPr>
        <w:pStyle w:val="Compact"/>
        <w:numPr>
          <w:ilvl w:val="0"/>
          <w:numId w:val="1004"/>
        </w:numPr>
      </w:pPr>
      <w:r>
        <w:t xml:space="preserve">Further deterioration in same-store lab NOI without a clearer recovery timeline.</w:t>
      </w:r>
    </w:p>
    <w:p>
      <w:pPr>
        <w:pStyle w:val="Compact"/>
        <w:numPr>
          <w:ilvl w:val="0"/>
          <w:numId w:val="1004"/>
        </w:numPr>
      </w:pPr>
      <w:r>
        <w:t xml:space="preserve">A softer outlook for biotech funding, tenant decision-making, or demand outside South San Francisco.</w:t>
      </w:r>
    </w:p>
    <w:p>
      <w:pPr>
        <w:pStyle w:val="FirstParagraph"/>
      </w:pPr>
      <w:r>
        <w:t xml:space="preserve">The important distinction is that occupancy, not face rent, is the main earnings lever. DOC has substantial vacant lab space that currently produces little revenue while still carrying operating costs; incremental absorption therefore has meaningful embedded operating leverage.</w:t>
      </w:r>
    </w:p>
    <w:p>
      <w:r>
        <w:pict>
          <v:rect style="width:0;height:1.5pt" o:hralign="center" o:hrstd="t" o:hr="t"/>
        </w:pict>
      </w:r>
    </w:p>
    <w:bookmarkEnd w:id="10"/>
    <w:bookmarkStart w:id="11" w:name="X03a51713491d957329cdcc6d4532eb347ba0247"/>
    <w:p>
      <w:pPr>
        <w:pStyle w:val="Heading3"/>
      </w:pPr>
      <w:r>
        <w:t xml:space="preserve">2. Outpatient medical: prove the core engine remains intact</w:t>
      </w:r>
    </w:p>
    <w:p>
      <w:pPr>
        <w:pStyle w:val="FirstParagraph"/>
      </w:pPr>
      <w:r>
        <w:t xml:space="preserve">Outpatient medical is DOC’s most dependable business and should provide stability while lab recovers. In 1Q26, the portfolio generated:</w:t>
      </w:r>
    </w:p>
    <w:p>
      <w:pPr>
        <w:pStyle w:val="Compact"/>
        <w:numPr>
          <w:ilvl w:val="0"/>
          <w:numId w:val="1005"/>
        </w:numPr>
      </w:pPr>
      <w:r>
        <w:rPr>
          <w:b/>
          <w:bCs/>
        </w:rPr>
        <w:t xml:space="preserve">2.4%</w:t>
      </w:r>
      <w:r>
        <w:t xml:space="preserve"> </w:t>
      </w:r>
      <w:r>
        <w:t xml:space="preserve">same-store adjusted NOI growth;</w:t>
      </w:r>
    </w:p>
    <w:p>
      <w:pPr>
        <w:pStyle w:val="Compact"/>
        <w:numPr>
          <w:ilvl w:val="0"/>
          <w:numId w:val="1005"/>
        </w:numPr>
      </w:pPr>
      <w:r>
        <w:rPr>
          <w:b/>
          <w:bCs/>
        </w:rPr>
        <w:t xml:space="preserve">5.4%</w:t>
      </w:r>
      <w:r>
        <w:t xml:space="preserve"> </w:t>
      </w:r>
      <w:r>
        <w:t xml:space="preserve">cash releasing spreads on renewals;</w:t>
      </w:r>
    </w:p>
    <w:p>
      <w:pPr>
        <w:pStyle w:val="Compact"/>
        <w:numPr>
          <w:ilvl w:val="0"/>
          <w:numId w:val="1005"/>
        </w:numPr>
      </w:pPr>
      <w:r>
        <w:rPr>
          <w:b/>
          <w:bCs/>
        </w:rPr>
        <w:t xml:space="preserve">91.8%</w:t>
      </w:r>
      <w:r>
        <w:t xml:space="preserve"> </w:t>
      </w:r>
      <w:r>
        <w:t xml:space="preserve">same-store occupancy;</w:t>
      </w:r>
    </w:p>
    <w:p>
      <w:pPr>
        <w:pStyle w:val="Compact"/>
        <w:numPr>
          <w:ilvl w:val="0"/>
          <w:numId w:val="1005"/>
        </w:numPr>
      </w:pPr>
      <w:r>
        <w:t xml:space="preserve">approximately</w:t>
      </w:r>
      <w:r>
        <w:t xml:space="preserve"> </w:t>
      </w:r>
      <w:r>
        <w:rPr>
          <w:b/>
          <w:bCs/>
        </w:rPr>
        <w:t xml:space="preserve">3%</w:t>
      </w:r>
      <w:r>
        <w:t xml:space="preserve"> </w:t>
      </w:r>
      <w:r>
        <w:t xml:space="preserve">average annual contractual escalators; and</w:t>
      </w:r>
    </w:p>
    <w:p>
      <w:pPr>
        <w:pStyle w:val="Compact"/>
        <w:numPr>
          <w:ilvl w:val="0"/>
          <w:numId w:val="1005"/>
        </w:numPr>
      </w:pPr>
      <w:r>
        <w:t xml:space="preserve">relatively low leasing costs, supporting attractive net effective economics.</w:t>
      </w:r>
    </w:p>
    <w:p>
      <w:pPr>
        <w:pStyle w:val="FirstParagraph"/>
      </w:pPr>
      <w:r>
        <w:t xml:space="preserve">This segment accounts for the largest share of same-store NOI, making its continued execution especially important to protecting 2026 FFO.</w:t>
      </w:r>
    </w:p>
    <w:p>
      <w:pPr>
        <w:pStyle w:val="BodyText"/>
      </w:pPr>
      <w:r>
        <w:t xml:space="preserve">For 2Q, investors should focus less on quarter-to-quarter leasing volume—which management characterizes as seasonal—and more on:</w:t>
      </w:r>
    </w:p>
    <w:p>
      <w:pPr>
        <w:pStyle w:val="Compact"/>
        <w:numPr>
          <w:ilvl w:val="0"/>
          <w:numId w:val="1006"/>
        </w:numPr>
      </w:pPr>
      <w:r>
        <w:t xml:space="preserve">renewal retention;</w:t>
      </w:r>
    </w:p>
    <w:p>
      <w:pPr>
        <w:pStyle w:val="Compact"/>
        <w:numPr>
          <w:ilvl w:val="0"/>
          <w:numId w:val="1006"/>
        </w:numPr>
      </w:pPr>
      <w:r>
        <w:t xml:space="preserve">cash releasing spreads;</w:t>
      </w:r>
    </w:p>
    <w:p>
      <w:pPr>
        <w:pStyle w:val="Compact"/>
        <w:numPr>
          <w:ilvl w:val="0"/>
          <w:numId w:val="1006"/>
        </w:numPr>
      </w:pPr>
      <w:r>
        <w:t xml:space="preserve">occupancy trends;</w:t>
      </w:r>
    </w:p>
    <w:p>
      <w:pPr>
        <w:pStyle w:val="Compact"/>
        <w:numPr>
          <w:ilvl w:val="0"/>
          <w:numId w:val="1006"/>
        </w:numPr>
      </w:pPr>
      <w:r>
        <w:t xml:space="preserve">leasing costs and capital needs; and</w:t>
      </w:r>
    </w:p>
    <w:p>
      <w:pPr>
        <w:pStyle w:val="Compact"/>
        <w:numPr>
          <w:ilvl w:val="0"/>
          <w:numId w:val="1006"/>
        </w:numPr>
      </w:pPr>
      <w:r>
        <w:t xml:space="preserve">progress on additional Blackstone-related recapitalizations or acquisitions.</w:t>
      </w:r>
    </w:p>
    <w:p>
      <w:pPr>
        <w:pStyle w:val="FirstParagraph"/>
      </w:pPr>
      <w:r>
        <w:t xml:space="preserve">A continued mix of mid-single-digit releasing spreads and low capital intensity would reinforce the view that outpatient medical can compound NOI even in a slower macro environment.</w:t>
      </w:r>
    </w:p>
    <w:p>
      <w:r>
        <w:pict>
          <v:rect style="width:0;height:1.5pt" o:hralign="center" o:hrstd="t" o:hr="t"/>
        </w:pict>
      </w:r>
    </w:p>
    <w:bookmarkEnd w:id="11"/>
    <w:bookmarkStart w:id="12" w:name="X88e3486bebeafcd7ad0146cadae171f3d185830"/>
    <w:p>
      <w:pPr>
        <w:pStyle w:val="Heading3"/>
      </w:pPr>
      <w:r>
        <w:t xml:space="preserve">3. Senior housing and Janus Living: growth, capital deployment, and economics to DOC</w:t>
      </w:r>
    </w:p>
    <w:p>
      <w:pPr>
        <w:pStyle w:val="FirstParagraph"/>
      </w:pPr>
      <w:r>
        <w:t xml:space="preserve">Senior housing was the standout operating segment in 1Q26. Same-store adjusted NOI rose</w:t>
      </w:r>
      <w:r>
        <w:t xml:space="preserve"> </w:t>
      </w:r>
      <w:r>
        <w:rPr>
          <w:b/>
          <w:bCs/>
        </w:rPr>
        <w:t xml:space="preserve">13.8%</w:t>
      </w:r>
      <w:r>
        <w:t xml:space="preserve">, driven by higher occupancy and resident-fee growth. The Janus Living IPO adds complexity but is central to the investment case:</w:t>
      </w:r>
    </w:p>
    <w:p>
      <w:pPr>
        <w:pStyle w:val="Compact"/>
        <w:numPr>
          <w:ilvl w:val="0"/>
          <w:numId w:val="1007"/>
        </w:numPr>
      </w:pPr>
      <w:r>
        <w:t xml:space="preserve">DOC retains an</w:t>
      </w:r>
      <w:r>
        <w:t xml:space="preserve"> </w:t>
      </w:r>
      <w:r>
        <w:rPr>
          <w:b/>
          <w:bCs/>
        </w:rPr>
        <w:t xml:space="preserve">81.6%</w:t>
      </w:r>
      <w:r>
        <w:t xml:space="preserve"> </w:t>
      </w:r>
      <w:r>
        <w:t xml:space="preserve">economic interest in Janus Living.</w:t>
      </w:r>
    </w:p>
    <w:p>
      <w:pPr>
        <w:pStyle w:val="Compact"/>
        <w:numPr>
          <w:ilvl w:val="0"/>
          <w:numId w:val="1007"/>
        </w:numPr>
      </w:pPr>
      <w:r>
        <w:t xml:space="preserve">Janus raised roughly</w:t>
      </w:r>
      <w:r>
        <w:t xml:space="preserve"> </w:t>
      </w:r>
      <w:r>
        <w:rPr>
          <w:b/>
          <w:bCs/>
        </w:rPr>
        <w:t xml:space="preserve">$880 million in net IPO proceeds</w:t>
      </w:r>
      <w:r>
        <w:t xml:space="preserve">.</w:t>
      </w:r>
    </w:p>
    <w:p>
      <w:pPr>
        <w:pStyle w:val="Compact"/>
        <w:numPr>
          <w:ilvl w:val="0"/>
          <w:numId w:val="1007"/>
        </w:numPr>
      </w:pPr>
      <w:r>
        <w:t xml:space="preserve">Management said it expected the IPO to be</w:t>
      </w:r>
      <w:r>
        <w:t xml:space="preserve"> </w:t>
      </w:r>
      <w:r>
        <w:rPr>
          <w:b/>
          <w:bCs/>
        </w:rPr>
        <w:t xml:space="preserve">neutral to DOC’s 2026 earnings</w:t>
      </w:r>
      <w:r>
        <w:t xml:space="preserve">, before becoming accretive as capital is deployed.</w:t>
      </w:r>
    </w:p>
    <w:p>
      <w:pPr>
        <w:pStyle w:val="Compact"/>
        <w:numPr>
          <w:ilvl w:val="0"/>
          <w:numId w:val="1007"/>
        </w:numPr>
      </w:pPr>
      <w:r>
        <w:t xml:space="preserve">DOC estimated that full investment and stabilization of Janus’s IPO proceeds could ultimately add roughly</w:t>
      </w:r>
      <w:r>
        <w:t xml:space="preserve"> </w:t>
      </w:r>
      <w:r>
        <w:rPr>
          <w:b/>
          <w:bCs/>
        </w:rPr>
        <w:t xml:space="preserve">$0.04 per DOC share</w:t>
      </w:r>
      <w:r>
        <w:t xml:space="preserve"> </w:t>
      </w:r>
      <w:r>
        <w:t xml:space="preserve">of annualized accretion.</w:t>
      </w:r>
    </w:p>
    <w:p>
      <w:pPr>
        <w:pStyle w:val="FirstParagraph"/>
      </w:pPr>
      <w:r>
        <w:t xml:space="preserve">The key question is whether the attractive demographic and operating backdrop in senior housing can offset the temporary IPO-related drag, public-company costs, and dilution from the noncontrolling interest.</w:t>
      </w:r>
    </w:p>
    <w:p>
      <w:pPr>
        <w:pStyle w:val="BodyText"/>
      </w:pPr>
      <w:r>
        <w:rPr>
          <w:b/>
          <w:bCs/>
        </w:rPr>
        <w:t xml:space="preserve">Key items to watch</w:t>
      </w:r>
    </w:p>
    <w:p>
      <w:pPr>
        <w:pStyle w:val="Compact"/>
        <w:numPr>
          <w:ilvl w:val="0"/>
          <w:numId w:val="1008"/>
        </w:numPr>
      </w:pPr>
      <w:r>
        <w:t xml:space="preserve">Same-store occupancy and RevPOR growth.</w:t>
      </w:r>
    </w:p>
    <w:p>
      <w:pPr>
        <w:pStyle w:val="Compact"/>
        <w:numPr>
          <w:ilvl w:val="0"/>
          <w:numId w:val="1008"/>
        </w:numPr>
      </w:pPr>
      <w:r>
        <w:t xml:space="preserve">Labor, utilities, and other cost inflation.</w:t>
      </w:r>
    </w:p>
    <w:p>
      <w:pPr>
        <w:pStyle w:val="Compact"/>
        <w:numPr>
          <w:ilvl w:val="0"/>
          <w:numId w:val="1008"/>
        </w:numPr>
      </w:pPr>
      <w:r>
        <w:t xml:space="preserve">Progress on the roughly</w:t>
      </w:r>
      <w:r>
        <w:t xml:space="preserve"> </w:t>
      </w:r>
      <w:r>
        <w:rPr>
          <w:b/>
          <w:bCs/>
        </w:rPr>
        <w:t xml:space="preserve">$400 million</w:t>
      </w:r>
      <w:r>
        <w:t xml:space="preserve"> </w:t>
      </w:r>
      <w:r>
        <w:t xml:space="preserve">of Janus acquisitions previously under contract.</w:t>
      </w:r>
    </w:p>
    <w:p>
      <w:pPr>
        <w:pStyle w:val="Compact"/>
        <w:numPr>
          <w:ilvl w:val="0"/>
          <w:numId w:val="1008"/>
        </w:numPr>
      </w:pPr>
      <w:r>
        <w:t xml:space="preserve">Timing of acquisition closings and the expected earnings contribution.</w:t>
      </w:r>
    </w:p>
    <w:p>
      <w:pPr>
        <w:pStyle w:val="Compact"/>
        <w:numPr>
          <w:ilvl w:val="0"/>
          <w:numId w:val="1008"/>
        </w:numPr>
      </w:pPr>
      <w:r>
        <w:t xml:space="preserve">Any change to the expected 2026-neutral / 2027-accretive IPO framework.</w:t>
      </w:r>
    </w:p>
    <w:p>
      <w:pPr>
        <w:pStyle w:val="FirstParagraph"/>
      </w:pPr>
      <w:r>
        <w:t xml:space="preserve">A strong Janus update would support the argument that DOC has retained much of the economic upside of a fast-growing senior-housing platform while unlocking a better valuation and external-growth vehicle for that business.</w:t>
      </w:r>
    </w:p>
    <w:p>
      <w:r>
        <w:pict>
          <v:rect style="width:0;height:1.5pt" o:hralign="center" o:hrstd="t" o:hr="t"/>
        </w:pict>
      </w:r>
    </w:p>
    <w:bookmarkEnd w:id="12"/>
    <w:bookmarkEnd w:id="13"/>
    <w:bookmarkStart w:id="17" w:name="guidance-and-quarterly-ffo-framing"/>
    <w:p>
      <w:pPr>
        <w:pStyle w:val="Heading2"/>
      </w:pPr>
      <w:r>
        <w:t xml:space="preserve">Guidance and quarterly FFO framing</w:t>
      </w:r>
    </w:p>
    <w:p>
      <w:pPr>
        <w:pStyle w:val="FirstParagraph"/>
      </w:pPr>
      <w:r>
        <w:t xml:space="preserve">After 1Q, DOC raised 2026 FFO-as-adjusted guidance to</w:t>
      </w:r>
      <w:r>
        <w:t xml:space="preserve"> </w:t>
      </w:r>
      <m:oMath>
        <m:r>
          <m:t>1.71</m:t>
        </m:r>
        <m:r>
          <m:rPr>
            <m:sty m:val="p"/>
          </m:rPr>
          <m:t>–</m:t>
        </m:r>
      </m:oMath>
      <w:r>
        <w:rPr>
          <w:b/>
          <w:bCs/>
        </w:rPr>
        <w:t xml:space="preserve">1.75 per share</w:t>
      </w:r>
      <w:r>
        <w:t xml:space="preserve">, from</w:t>
      </w:r>
      <w:r>
        <w:t xml:space="preserve"> </w:t>
      </w:r>
      <m:oMath>
        <m:r>
          <m:t>1.70</m:t>
        </m:r>
        <m:r>
          <m:rPr>
            <m:sty m:val="p"/>
          </m:rPr>
          <m:t>–</m:t>
        </m:r>
      </m:oMath>
      <w:r>
        <w:t xml:space="preserve">1.74 previously. First-quarter FFO as adjusted was</w:t>
      </w:r>
      <w:r>
        <w:t xml:space="preserve"> </w:t>
      </w:r>
      <w:r>
        <w:rPr>
          <w:b/>
          <w:bCs/>
        </w:rPr>
        <w:t xml:space="preserve">$0.45 per share</w:t>
      </w:r>
      <w:r>
        <w:t xml:space="preserve">, but management emphasized that this was elevated by the timing of senior-housing acquisitions and that subsequent quarters should normalize closer to the full-year run rate.</w:t>
      </w:r>
    </w:p>
    <w:p>
      <w:pPr>
        <w:pStyle w:val="BodyText"/>
      </w:pPr>
      <w:r>
        <w:t xml:space="preserve">At the</w:t>
      </w:r>
      <w:r>
        <w:t xml:space="preserve"> </w:t>
      </w:r>
      <m:oMath>
        <m:r>
          <m:t>1.73</m:t>
        </m:r>
        <m:r>
          <m:t>m</m:t>
        </m:r>
        <m:r>
          <m:t>i</m:t>
        </m:r>
        <m:r>
          <m:t>d</m:t>
        </m:r>
        <m:r>
          <m:t>p</m:t>
        </m:r>
        <m:r>
          <m:t>o</m:t>
        </m:r>
        <m:r>
          <m:t>i</m:t>
        </m:r>
        <m:r>
          <m:t>n</m:t>
        </m:r>
        <m:r>
          <m:t>t</m:t>
        </m:r>
        <m:r>
          <m:rPr>
            <m:sty m:val="p"/>
          </m:rPr>
          <m:t>,</m:t>
        </m:r>
        <m:r>
          <m:t>t</m:t>
        </m:r>
        <m:r>
          <m:t>h</m:t>
        </m:r>
        <m:r>
          <m:t>e</m:t>
        </m:r>
        <m:r>
          <m:t>r</m:t>
        </m:r>
        <m:r>
          <m:t>e</m:t>
        </m:r>
        <m:r>
          <m:t>m</m:t>
        </m:r>
        <m:r>
          <m:t>a</m:t>
        </m:r>
        <m:r>
          <m:t>i</m:t>
        </m:r>
        <m:r>
          <m:t>n</m:t>
        </m:r>
        <m:r>
          <m:t>i</m:t>
        </m:r>
        <m:r>
          <m:t>n</m:t>
        </m:r>
        <m:r>
          <m:t>g</m:t>
        </m:r>
        <m:r>
          <m:t>t</m:t>
        </m:r>
        <m:r>
          <m:t>h</m:t>
        </m:r>
        <m:r>
          <m:t>r</m:t>
        </m:r>
        <m:r>
          <m:t>e</m:t>
        </m:r>
        <m:r>
          <m:t>e</m:t>
        </m:r>
        <m:r>
          <m:t>q</m:t>
        </m:r>
        <m:r>
          <m:t>u</m:t>
        </m:r>
        <m:r>
          <m:t>a</m:t>
        </m:r>
        <m:r>
          <m:t>r</m:t>
        </m:r>
        <m:r>
          <m:t>t</m:t>
        </m:r>
        <m:r>
          <m:t>e</m:t>
        </m:r>
        <m:r>
          <m:t>r</m:t>
        </m:r>
        <m:r>
          <m:t>s</m:t>
        </m:r>
        <m:r>
          <m:t>i</m:t>
        </m:r>
        <m:r>
          <m:t>m</m:t>
        </m:r>
        <m:r>
          <m:t>p</m:t>
        </m:r>
        <m:r>
          <m:t>l</m:t>
        </m:r>
        <m:r>
          <m:t>y</m:t>
        </m:r>
        <m:r>
          <m:t>a</m:t>
        </m:r>
        <m:r>
          <m:t>n</m:t>
        </m:r>
        <m:r>
          <m:t>a</m:t>
        </m:r>
        <m:r>
          <m:t>v</m:t>
        </m:r>
        <m:r>
          <m:t>e</m:t>
        </m:r>
        <m:r>
          <m:t>r</m:t>
        </m:r>
        <m:r>
          <m:t>a</m:t>
        </m:r>
        <m:r>
          <m:t>g</m:t>
        </m:r>
        <m:r>
          <m:t>e</m:t>
        </m:r>
        <m:r>
          <m:t>o</m:t>
        </m:r>
        <m:r>
          <m:t>f</m:t>
        </m:r>
        <m:r>
          <m:t>r</m:t>
        </m:r>
        <m:r>
          <m:t>o</m:t>
        </m:r>
        <m:r>
          <m:t>u</m:t>
        </m:r>
        <m:r>
          <m:t>g</m:t>
        </m:r>
        <m:r>
          <m:t>h</m:t>
        </m:r>
        <m:r>
          <m:t>l</m:t>
        </m:r>
        <m:r>
          <m:t>y</m:t>
        </m:r>
        <m:r>
          <m:rPr>
            <m:sty m:val="p"/>
          </m:rPr>
          <m:t>*</m:t>
        </m:r>
        <m:r>
          <m:rPr>
            <m:sty m:val="p"/>
          </m:rPr>
          <m:t>*</m:t>
        </m:r>
      </m:oMath>
      <w:r>
        <w:t xml:space="preserve">0.43 per share**.</w:t>
      </w:r>
    </w:p>
    <w:bookmarkStart w:id="14" w:name="earnings-preview-view"/>
    <w:p>
      <w:pPr>
        <w:pStyle w:val="Heading3"/>
      </w:pPr>
      <w:r>
        <w:t xml:space="preserve">Earnings-preview view</w:t>
      </w:r>
    </w:p>
    <w:p>
      <w:pPr>
        <w:pStyle w:val="FirstParagraph"/>
      </w:pPr>
      <w:r>
        <w:t xml:space="preserve">A result around that implied quarterly run rate could be adequate if accompanied by:</w:t>
      </w:r>
    </w:p>
    <w:p>
      <w:pPr>
        <w:pStyle w:val="Compact"/>
        <w:numPr>
          <w:ilvl w:val="0"/>
          <w:numId w:val="1009"/>
        </w:numPr>
      </w:pPr>
      <w:r>
        <w:t xml:space="preserve">confirmed lab occupancy progress;</w:t>
      </w:r>
    </w:p>
    <w:p>
      <w:pPr>
        <w:pStyle w:val="Compact"/>
        <w:numPr>
          <w:ilvl w:val="0"/>
          <w:numId w:val="1009"/>
        </w:numPr>
      </w:pPr>
      <w:r>
        <w:t xml:space="preserve">sustained outpatient leasing economics;</w:t>
      </w:r>
    </w:p>
    <w:p>
      <w:pPr>
        <w:pStyle w:val="Compact"/>
        <w:numPr>
          <w:ilvl w:val="0"/>
          <w:numId w:val="1009"/>
        </w:numPr>
      </w:pPr>
      <w:r>
        <w:t xml:space="preserve">strong senior-housing NOI;</w:t>
      </w:r>
    </w:p>
    <w:p>
      <w:pPr>
        <w:pStyle w:val="Compact"/>
        <w:numPr>
          <w:ilvl w:val="0"/>
          <w:numId w:val="1009"/>
        </w:numPr>
      </w:pPr>
      <w:r>
        <w:t xml:space="preserve">capital-recycling execution; and</w:t>
      </w:r>
    </w:p>
    <w:p>
      <w:pPr>
        <w:pStyle w:val="Compact"/>
        <w:numPr>
          <w:ilvl w:val="0"/>
          <w:numId w:val="1009"/>
        </w:numPr>
      </w:pPr>
      <w:r>
        <w:t xml:space="preserve">maintained or improved full-year guidance.</w:t>
      </w:r>
    </w:p>
    <w:p>
      <w:pPr>
        <w:pStyle w:val="FirstParagraph"/>
      </w:pPr>
      <w:r>
        <w:t xml:space="preserve">Conversely, a modest FFO beat without stronger lab or capital-allocation evidence may not be enough after the stock’s rally.</w:t>
      </w:r>
    </w:p>
    <w:bookmarkEnd w:id="14"/>
    <w:bookmarkStart w:id="15" w:name="potential-guidance-upside-drivers"/>
    <w:p>
      <w:pPr>
        <w:pStyle w:val="Heading3"/>
      </w:pPr>
      <w:r>
        <w:t xml:space="preserve">Potential guidance upside drivers</w:t>
      </w:r>
    </w:p>
    <w:p>
      <w:pPr>
        <w:pStyle w:val="Compact"/>
        <w:numPr>
          <w:ilvl w:val="0"/>
          <w:numId w:val="1010"/>
        </w:numPr>
      </w:pPr>
      <w:r>
        <w:t xml:space="preserve">Stronger-than-planned senior-housing NOI.</w:t>
      </w:r>
    </w:p>
    <w:p>
      <w:pPr>
        <w:pStyle w:val="Compact"/>
        <w:numPr>
          <w:ilvl w:val="0"/>
          <w:numId w:val="1010"/>
        </w:numPr>
      </w:pPr>
      <w:r>
        <w:t xml:space="preserve">Faster Janus deployment into accretive acquisitions.</w:t>
      </w:r>
    </w:p>
    <w:p>
      <w:pPr>
        <w:pStyle w:val="Compact"/>
        <w:numPr>
          <w:ilvl w:val="0"/>
          <w:numId w:val="1010"/>
        </w:numPr>
      </w:pPr>
      <w:r>
        <w:t xml:space="preserve">Additional share repurchases at an attractive implied FFO yield.</w:t>
      </w:r>
    </w:p>
    <w:p>
      <w:pPr>
        <w:pStyle w:val="Compact"/>
        <w:numPr>
          <w:ilvl w:val="0"/>
          <w:numId w:val="1010"/>
        </w:numPr>
      </w:pPr>
      <w:r>
        <w:t xml:space="preserve">Incremental outpatient joint-venture recapitalizations at favorable private-market values.</w:t>
      </w:r>
    </w:p>
    <w:p>
      <w:pPr>
        <w:pStyle w:val="Compact"/>
        <w:numPr>
          <w:ilvl w:val="0"/>
          <w:numId w:val="1010"/>
        </w:numPr>
      </w:pPr>
      <w:r>
        <w:t xml:space="preserve">Faster-than-expected lab lease commencements.</w:t>
      </w:r>
    </w:p>
    <w:bookmarkEnd w:id="15"/>
    <w:bookmarkStart w:id="16" w:name="potential-offsets"/>
    <w:p>
      <w:pPr>
        <w:pStyle w:val="Heading3"/>
      </w:pPr>
      <w:r>
        <w:t xml:space="preserve">Potential offsets</w:t>
      </w:r>
    </w:p>
    <w:p>
      <w:pPr>
        <w:pStyle w:val="Compact"/>
        <w:numPr>
          <w:ilvl w:val="0"/>
          <w:numId w:val="1011"/>
        </w:numPr>
      </w:pPr>
      <w:r>
        <w:t xml:space="preserve">Refinancing and interest-expense pressure.</w:t>
      </w:r>
    </w:p>
    <w:p>
      <w:pPr>
        <w:pStyle w:val="Compact"/>
        <w:numPr>
          <w:ilvl w:val="0"/>
          <w:numId w:val="1011"/>
        </w:numPr>
      </w:pPr>
      <w:r>
        <w:t xml:space="preserve">Dilution or temporary earnings drag associated with Janus and cash awaiting deployment.</w:t>
      </w:r>
    </w:p>
    <w:p>
      <w:pPr>
        <w:pStyle w:val="Compact"/>
        <w:numPr>
          <w:ilvl w:val="0"/>
          <w:numId w:val="1011"/>
        </w:numPr>
      </w:pPr>
      <w:r>
        <w:t xml:space="preserve">Disposition-related NOI leakage.</w:t>
      </w:r>
    </w:p>
    <w:p>
      <w:pPr>
        <w:pStyle w:val="Compact"/>
        <w:numPr>
          <w:ilvl w:val="0"/>
          <w:numId w:val="1011"/>
        </w:numPr>
      </w:pPr>
      <w:r>
        <w:t xml:space="preserve">Lab vacancy, concessions, or delayed tenant decisions.</w:t>
      </w:r>
    </w:p>
    <w:p>
      <w:pPr>
        <w:pStyle w:val="Compact"/>
        <w:numPr>
          <w:ilvl w:val="0"/>
          <w:numId w:val="1011"/>
        </w:numPr>
      </w:pPr>
      <w:r>
        <w:t xml:space="preserve">Higher-than-expected operating costs in senior housing.</w:t>
      </w:r>
    </w:p>
    <w:p>
      <w:r>
        <w:pict>
          <v:rect style="width:0;height:1.5pt" o:hralign="center" o:hrstd="t" o:hr="t"/>
        </w:pict>
      </w:r>
    </w:p>
    <w:bookmarkEnd w:id="16"/>
    <w:bookmarkEnd w:id="17"/>
    <w:bookmarkStart w:id="18" w:name="X7b42187582f05cb9f78cc973f929cf446b26247"/>
    <w:p>
      <w:pPr>
        <w:pStyle w:val="Heading2"/>
      </w:pPr>
      <w:r>
        <w:t xml:space="preserve">Capital allocation and balance sheet: a meaningful part of the call</w:t>
      </w:r>
    </w:p>
    <w:p>
      <w:pPr>
        <w:pStyle w:val="FirstParagraph"/>
      </w:pPr>
      <w:r>
        <w:t xml:space="preserve">Management has positioned capital allocation as a differentiator. In 1Q and shortly thereafter, DOC:</w:t>
      </w:r>
    </w:p>
    <w:p>
      <w:pPr>
        <w:pStyle w:val="Compact"/>
        <w:numPr>
          <w:ilvl w:val="0"/>
          <w:numId w:val="1012"/>
        </w:numPr>
      </w:pPr>
      <w:r>
        <w:t xml:space="preserve">completed a Blackstone joint-venture recapitalization of a fully occupied outpatient portfolio at a</w:t>
      </w:r>
      <w:r>
        <w:t xml:space="preserve"> </w:t>
      </w:r>
      <w:r>
        <w:rPr>
          <w:b/>
          <w:bCs/>
        </w:rPr>
        <w:t xml:space="preserve">6.1% cash cap rate</w:t>
      </w:r>
      <w:r>
        <w:t xml:space="preserve">;</w:t>
      </w:r>
    </w:p>
    <w:p>
      <w:pPr>
        <w:pStyle w:val="Compact"/>
        <w:numPr>
          <w:ilvl w:val="0"/>
          <w:numId w:val="1012"/>
        </w:numPr>
      </w:pPr>
      <w:r>
        <w:t xml:space="preserve">indicated potential additional recapitalizations and sales that could generate</w:t>
      </w:r>
      <w:r>
        <w:t xml:space="preserve"> </w:t>
      </w:r>
      <w:r>
        <w:rPr>
          <w:b/>
          <w:bCs/>
        </w:rPr>
        <w:t xml:space="preserve">$700 million or more</w:t>
      </w:r>
      <w:r>
        <w:t xml:space="preserve"> </w:t>
      </w:r>
      <w:r>
        <w:t xml:space="preserve">of proceeds;</w:t>
      </w:r>
    </w:p>
    <w:p>
      <w:pPr>
        <w:pStyle w:val="Compact"/>
        <w:numPr>
          <w:ilvl w:val="0"/>
          <w:numId w:val="1012"/>
        </w:numPr>
      </w:pPr>
      <w:r>
        <w:t xml:space="preserve">repurchased</w:t>
      </w:r>
      <w:r>
        <w:t xml:space="preserve"> </w:t>
      </w:r>
      <m:oMath>
        <m:r>
          <m:t>100</m:t>
        </m:r>
        <m:r>
          <m:t>m</m:t>
        </m:r>
        <m:r>
          <m:t>i</m:t>
        </m:r>
        <m:r>
          <m:t>l</m:t>
        </m:r>
        <m:r>
          <m:t>l</m:t>
        </m:r>
        <m:r>
          <m:t>i</m:t>
        </m:r>
        <m:r>
          <m:t>o</m:t>
        </m:r>
        <m:r>
          <m:t>n</m:t>
        </m:r>
        <m:r>
          <m:rPr>
            <m:sty m:val="p"/>
          </m:rPr>
          <m:t>*</m:t>
        </m:r>
        <m:r>
          <m:rPr>
            <m:sty m:val="p"/>
          </m:rPr>
          <m:t>*</m:t>
        </m:r>
        <m:r>
          <m:t>o</m:t>
        </m:r>
        <m:r>
          <m:t>f</m:t>
        </m:r>
        <m:r>
          <m:t>s</m:t>
        </m:r>
        <m:r>
          <m:t>t</m:t>
        </m:r>
        <m:r>
          <m:t>o</m:t>
        </m:r>
        <m:r>
          <m:t>c</m:t>
        </m:r>
        <m:r>
          <m:t>k</m:t>
        </m:r>
        <m:r>
          <m:t>i</m:t>
        </m:r>
        <m:r>
          <m:t>n</m:t>
        </m:r>
        <m:r>
          <m:t>A</m:t>
        </m:r>
        <m:r>
          <m:t>p</m:t>
        </m:r>
        <m:r>
          <m:t>r</m:t>
        </m:r>
        <m:r>
          <m:t>i</m:t>
        </m:r>
        <m:r>
          <m:t>l</m:t>
        </m:r>
        <m:r>
          <m:t>a</m:t>
        </m:r>
        <m:r>
          <m:t>t</m:t>
        </m:r>
        <m:r>
          <m:t>a</m:t>
        </m:r>
        <m:r>
          <m:t>n</m:t>
        </m:r>
        <m:r>
          <m:t>a</m:t>
        </m:r>
        <m:r>
          <m:t>v</m:t>
        </m:r>
        <m:r>
          <m:t>e</m:t>
        </m:r>
        <m:r>
          <m:t>r</m:t>
        </m:r>
        <m:r>
          <m:t>a</m:t>
        </m:r>
        <m:r>
          <m:t>g</m:t>
        </m:r>
        <m:r>
          <m:t>e</m:t>
        </m:r>
        <m:r>
          <m:t>p</m:t>
        </m:r>
        <m:r>
          <m:t>r</m:t>
        </m:r>
        <m:r>
          <m:t>i</m:t>
        </m:r>
        <m:r>
          <m:t>c</m:t>
        </m:r>
        <m:r>
          <m:t>e</m:t>
        </m:r>
        <m:r>
          <m:t>o</m:t>
        </m:r>
        <m:r>
          <m:t>f</m:t>
        </m:r>
        <m:r>
          <m:rPr>
            <m:sty m:val="p"/>
          </m:rPr>
          <m:t>*</m:t>
        </m:r>
        <m:r>
          <m:rPr>
            <m:sty m:val="p"/>
          </m:rPr>
          <m:t>*</m:t>
        </m:r>
      </m:oMath>
      <w:r>
        <w:rPr>
          <w:b/>
          <w:bCs/>
        </w:rPr>
        <w:t xml:space="preserve">16.81</w:t>
      </w:r>
      <w:r>
        <w:t xml:space="preserve">; and</w:t>
      </w:r>
    </w:p>
    <w:p>
      <w:pPr>
        <w:pStyle w:val="Compact"/>
        <w:numPr>
          <w:ilvl w:val="0"/>
          <w:numId w:val="1012"/>
        </w:numPr>
      </w:pPr>
      <w:r>
        <w:t xml:space="preserve">had roughly</w:t>
      </w:r>
      <w:r>
        <w:t xml:space="preserve"> </w:t>
      </w:r>
      <w:r>
        <w:rPr>
          <w:b/>
          <w:bCs/>
        </w:rPr>
        <w:t xml:space="preserve">$306 million</w:t>
      </w:r>
      <w:r>
        <w:t xml:space="preserve"> </w:t>
      </w:r>
      <w:r>
        <w:t xml:space="preserve">remaining under its repurchase authorization following that buyback.</w:t>
      </w:r>
    </w:p>
    <w:p>
      <w:pPr>
        <w:pStyle w:val="FirstParagraph"/>
      </w:pPr>
      <w:r>
        <w:t xml:space="preserve">The company also entered 2026 with meaningful liquidity, but it has refinancing exposure. Management highlighted that</w:t>
      </w:r>
      <w:r>
        <w:t xml:space="preserve"> </w:t>
      </w:r>
      <w:r>
        <w:rPr>
          <w:b/>
          <w:bCs/>
        </w:rPr>
        <w:t xml:space="preserve">$650 million of 3.5%-ish senior notes</w:t>
      </w:r>
      <w:r>
        <w:t xml:space="preserve"> </w:t>
      </w:r>
      <w:r>
        <w:t xml:space="preserve">needed refinancing in June, creating a second-half interest-expense headwind relative to the first half.</w:t>
      </w:r>
    </w:p>
    <w:p>
      <w:pPr>
        <w:pStyle w:val="BodyText"/>
      </w:pPr>
      <w:r>
        <w:t xml:space="preserve">The 2Q call should help investors assess whether DOC can continue to recycle capital from lower-growth or noncore assets into either:</w:t>
      </w:r>
    </w:p>
    <w:p>
      <w:pPr>
        <w:pStyle w:val="Compact"/>
        <w:numPr>
          <w:ilvl w:val="0"/>
          <w:numId w:val="1013"/>
        </w:numPr>
      </w:pPr>
      <w:r>
        <w:t xml:space="preserve">accretive repurchases,</w:t>
      </w:r>
    </w:p>
    <w:p>
      <w:pPr>
        <w:pStyle w:val="Compact"/>
        <w:numPr>
          <w:ilvl w:val="0"/>
          <w:numId w:val="1013"/>
        </w:numPr>
      </w:pPr>
      <w:r>
        <w:t xml:space="preserve">high-conviction senior-housing growth through Janus,</w:t>
      </w:r>
    </w:p>
    <w:p>
      <w:pPr>
        <w:pStyle w:val="Compact"/>
        <w:numPr>
          <w:ilvl w:val="0"/>
          <w:numId w:val="1013"/>
        </w:numPr>
      </w:pPr>
      <w:r>
        <w:t xml:space="preserve">selective lab opportunities in core markets, or</w:t>
      </w:r>
    </w:p>
    <w:p>
      <w:pPr>
        <w:pStyle w:val="Compact"/>
        <w:numPr>
          <w:ilvl w:val="0"/>
          <w:numId w:val="1013"/>
        </w:numPr>
      </w:pPr>
      <w:r>
        <w:t xml:space="preserve">deleveraging.</w:t>
      </w:r>
    </w:p>
    <w:p>
      <w:pPr>
        <w:pStyle w:val="FirstParagraph"/>
      </w:pPr>
      <w:r>
        <w:t xml:space="preserve">This is particularly relevant because DOC’s equity story rests partly on the gap between private-market asset values and the public-market valuation of the company.</w:t>
      </w:r>
    </w:p>
    <w:p>
      <w:r>
        <w:pict>
          <v:rect style="width:0;height:1.5pt" o:hralign="center" o:hrstd="t" o:hr="t"/>
        </w:pict>
      </w:r>
    </w:p>
    <w:bookmarkEnd w:id="18"/>
    <w:bookmarkStart w:id="19" w:name="valuation-and-dividend-context"/>
    <w:p>
      <w:pPr>
        <w:pStyle w:val="Heading2"/>
      </w:pPr>
      <w:r>
        <w:t xml:space="preserve">Valuation and dividend context</w:t>
      </w:r>
    </w:p>
    <w:p>
      <w:pPr>
        <w:pStyle w:val="FirstParagraph"/>
      </w:pPr>
      <w:r>
        <w:t xml:space="preserve">At</w:t>
      </w:r>
      <w:r>
        <w:t xml:space="preserve"> </w:t>
      </w:r>
      <m:oMath>
        <m:r>
          <m:t>21.65</m:t>
        </m:r>
        <m:r>
          <m:rPr>
            <m:sty m:val="p"/>
          </m:rPr>
          <m:t>*</m:t>
        </m:r>
        <m:r>
          <m:rPr>
            <m:sty m:val="p"/>
          </m:rPr>
          <m:t>*</m:t>
        </m:r>
        <m:r>
          <m:rPr>
            <m:sty m:val="p"/>
          </m:rPr>
          <m:t>,</m:t>
        </m:r>
        <m:r>
          <m:t>D</m:t>
        </m:r>
        <m:r>
          <m:t>O</m:t>
        </m:r>
        <m:r>
          <m:t>C</m:t>
        </m:r>
        <m:r>
          <m:t>t</m:t>
        </m:r>
        <m:r>
          <m:t>r</m:t>
        </m:r>
        <m:r>
          <m:t>a</m:t>
        </m:r>
        <m:r>
          <m:t>d</m:t>
        </m:r>
        <m:r>
          <m:t>e</m:t>
        </m:r>
        <m:r>
          <m:t>s</m:t>
        </m:r>
        <m:r>
          <m:t>a</m:t>
        </m:r>
        <m:r>
          <m:t>t</m:t>
        </m:r>
        <m:r>
          <m:t>a</m:t>
        </m:r>
        <m:r>
          <m:t>b</m:t>
        </m:r>
        <m:r>
          <m:t>o</m:t>
        </m:r>
        <m:r>
          <m:t>u</m:t>
        </m:r>
        <m:r>
          <m:t>t</m:t>
        </m:r>
        <m:r>
          <m:rPr>
            <m:sty m:val="p"/>
          </m:rPr>
          <m:t>*</m:t>
        </m:r>
        <m:r>
          <m:rPr>
            <m:sty m:val="p"/>
          </m:rPr>
          <m:t>*</m:t>
        </m:r>
        <m:r>
          <m:t>8.0</m:t>
        </m:r>
        <m:r>
          <m:t>x</m:t>
        </m:r>
        <m:r>
          <m:rPr>
            <m:sty m:val="p"/>
          </m:rPr>
          <m:t>*</m:t>
        </m:r>
        <m:r>
          <m:rPr>
            <m:sty m:val="p"/>
          </m:rPr>
          <m:t>*</m:t>
        </m:r>
        <m:r>
          <m:t>t</m:t>
        </m:r>
        <m:r>
          <m:t>h</m:t>
        </m:r>
        <m:r>
          <m:t>e</m:t>
        </m:r>
        <m:r>
          <m:t>m</m:t>
        </m:r>
        <m:r>
          <m:t>i</m:t>
        </m:r>
        <m:r>
          <m:t>d</m:t>
        </m:r>
        <m:r>
          <m:t>p</m:t>
        </m:r>
        <m:r>
          <m:t>o</m:t>
        </m:r>
        <m:r>
          <m:t>i</m:t>
        </m:r>
        <m:r>
          <m:t>n</m:t>
        </m:r>
        <m:r>
          <m:t>t</m:t>
        </m:r>
        <m:r>
          <m:t>o</m:t>
        </m:r>
        <m:r>
          <m:t>f</m:t>
        </m:r>
        <m:r>
          <m:t>2026</m:t>
        </m:r>
        <m:r>
          <m:t>F</m:t>
        </m:r>
        <m:r>
          <m:t>F</m:t>
        </m:r>
        <m:r>
          <m:t>O</m:t>
        </m:r>
        <m:r>
          <m:rPr>
            <m:sty m:val="p"/>
          </m:rPr>
          <m:t>−</m:t>
        </m:r>
        <m:r>
          <m:t>a</m:t>
        </m:r>
        <m:r>
          <m:t>s</m:t>
        </m:r>
        <m:r>
          <m:rPr>
            <m:sty m:val="p"/>
          </m:rPr>
          <m:t>−</m:t>
        </m:r>
        <m:r>
          <m:t>a</m:t>
        </m:r>
        <m:r>
          <m:t>d</m:t>
        </m:r>
        <m:r>
          <m:t>j</m:t>
        </m:r>
        <m:r>
          <m:t>u</m:t>
        </m:r>
        <m:r>
          <m:t>s</m:t>
        </m:r>
        <m:r>
          <m:t>t</m:t>
        </m:r>
        <m:r>
          <m:t>e</m:t>
        </m:r>
        <m:r>
          <m:t>d</m:t>
        </m:r>
        <m:r>
          <m:t>g</m:t>
        </m:r>
        <m:r>
          <m:t>u</m:t>
        </m:r>
        <m:r>
          <m:t>i</m:t>
        </m:r>
        <m:r>
          <m:t>d</m:t>
        </m:r>
        <m:r>
          <m:t>a</m:t>
        </m:r>
        <m:r>
          <m:t>n</m:t>
        </m:r>
        <m:r>
          <m:t>c</m:t>
        </m:r>
        <m:r>
          <m:t>e</m:t>
        </m:r>
        <m:r>
          <m:rPr>
            <m:sty m:val="p"/>
          </m:rPr>
          <m:t>.</m:t>
        </m:r>
        <m:r>
          <m:t>T</m:t>
        </m:r>
        <m:r>
          <m:t>h</m:t>
        </m:r>
        <m:r>
          <m:t>e</m:t>
        </m:r>
        <m:r>
          <m:t>a</m:t>
        </m:r>
        <m:r>
          <m:t>n</m:t>
        </m:r>
        <m:r>
          <m:t>n</m:t>
        </m:r>
        <m:r>
          <m:t>u</m:t>
        </m:r>
        <m:r>
          <m:t>a</m:t>
        </m:r>
        <m:r>
          <m:t>l</m:t>
        </m:r>
        <m:r>
          <m:t>i</m:t>
        </m:r>
        <m:r>
          <m:t>z</m:t>
        </m:r>
        <m:r>
          <m:t>e</m:t>
        </m:r>
        <m:r>
          <m:t>d</m:t>
        </m:r>
        <m:r>
          <m:t>c</m:t>
        </m:r>
        <m:r>
          <m:t>o</m:t>
        </m:r>
        <m:r>
          <m:t>m</m:t>
        </m:r>
        <m:r>
          <m:t>m</m:t>
        </m:r>
        <m:r>
          <m:t>o</m:t>
        </m:r>
        <m:r>
          <m:t>n</m:t>
        </m:r>
        <m:r>
          <m:t>d</m:t>
        </m:r>
        <m:r>
          <m:t>i</m:t>
        </m:r>
        <m:r>
          <m:t>v</m:t>
        </m:r>
        <m:r>
          <m:t>i</m:t>
        </m:r>
        <m:r>
          <m:t>d</m:t>
        </m:r>
        <m:r>
          <m:t>e</m:t>
        </m:r>
        <m:r>
          <m:t>n</m:t>
        </m:r>
        <m:r>
          <m:t>d</m:t>
        </m:r>
        <m:r>
          <m:t>i</m:t>
        </m:r>
        <m:r>
          <m:t>s</m:t>
        </m:r>
        <m:r>
          <m:rPr>
            <m:sty m:val="p"/>
          </m:rPr>
          <m:t>*</m:t>
        </m:r>
        <m:r>
          <m:rPr>
            <m:sty m:val="p"/>
          </m:rPr>
          <m:t>*</m:t>
        </m:r>
      </m:oMath>
      <w:r>
        <w:rPr>
          <w:b/>
          <w:bCs/>
        </w:rPr>
        <w:t xml:space="preserve">1.22 per share</w:t>
      </w:r>
      <w:r>
        <w:t xml:space="preserve">, implying an approximate</w:t>
      </w:r>
      <w:r>
        <w:t xml:space="preserve"> </w:t>
      </w:r>
      <w:r>
        <w:rPr>
          <w:b/>
          <w:bCs/>
        </w:rPr>
        <w:t xml:space="preserve">5.6% dividend yield</w:t>
      </w:r>
      <w:r>
        <w:t xml:space="preserve"> </w:t>
      </w:r>
      <w:r>
        <w:t xml:space="preserve">at that price.</w:t>
      </w:r>
    </w:p>
    <w:p>
      <w:pPr>
        <w:pStyle w:val="BodyText"/>
      </w:pPr>
      <w:r>
        <w:t xml:space="preserve">That valuation is not demanding if investors accept three propositions:</w:t>
      </w:r>
    </w:p>
    <w:p>
      <w:pPr>
        <w:pStyle w:val="Compact"/>
        <w:numPr>
          <w:ilvl w:val="0"/>
          <w:numId w:val="1014"/>
        </w:numPr>
      </w:pPr>
      <w:r>
        <w:t xml:space="preserve">outpatient medical can sustain low-single-digit NOI growth;</w:t>
      </w:r>
    </w:p>
    <w:p>
      <w:pPr>
        <w:pStyle w:val="Compact"/>
        <w:numPr>
          <w:ilvl w:val="0"/>
          <w:numId w:val="1014"/>
        </w:numPr>
      </w:pPr>
      <w:r>
        <w:t xml:space="preserve">lab occupancy can recover over 2026–2027; and</w:t>
      </w:r>
    </w:p>
    <w:p>
      <w:pPr>
        <w:pStyle w:val="Compact"/>
        <w:numPr>
          <w:ilvl w:val="0"/>
          <w:numId w:val="1014"/>
        </w:numPr>
      </w:pPr>
      <w:r>
        <w:t xml:space="preserve">the Janus platform provides durable senior-housing upside and incremental capital-allocation flexibility.</w:t>
      </w:r>
    </w:p>
    <w:p>
      <w:pPr>
        <w:pStyle w:val="FirstParagraph"/>
      </w:pPr>
      <w:r>
        <w:t xml:space="preserve">However, the recent share-price appreciation means the market has already begun to price in a better operating outlook. The next leg higher likely requires operational confirmation rather than just an attractive headline FFO number.</w:t>
      </w:r>
    </w:p>
    <w:p>
      <w:r>
        <w:pict>
          <v:rect style="width:0;height:1.5pt" o:hralign="center" o:hrstd="t" o:hr="t"/>
        </w:pict>
      </w:r>
    </w:p>
    <w:bookmarkEnd w:id="19"/>
    <w:bookmarkStart w:id="20" w:name="questions-investors-should-want-answered"/>
    <w:p>
      <w:pPr>
        <w:pStyle w:val="Heading2"/>
      </w:pPr>
      <w:r>
        <w:t xml:space="preserve">Questions investors should want answered</w:t>
      </w:r>
    </w:p>
    <w:p>
      <w:pPr>
        <w:pStyle w:val="Compact"/>
        <w:numPr>
          <w:ilvl w:val="0"/>
          <w:numId w:val="1015"/>
        </w:numPr>
      </w:pPr>
      <w:r>
        <w:rPr>
          <w:b/>
          <w:bCs/>
        </w:rPr>
        <w:t xml:space="preserve">Lab:</w:t>
      </w:r>
      <w:r>
        <w:t xml:space="preserve"> </w:t>
      </w:r>
      <w:r>
        <w:t xml:space="preserve">What was quarter-end occupancy, and how much of the LOI pipeline has converted into executed leases or commenced occupancy?</w:t>
      </w:r>
    </w:p>
    <w:p>
      <w:pPr>
        <w:pStyle w:val="Compact"/>
        <w:numPr>
          <w:ilvl w:val="0"/>
          <w:numId w:val="1015"/>
        </w:numPr>
      </w:pPr>
      <w:r>
        <w:rPr>
          <w:b/>
          <w:bCs/>
        </w:rPr>
        <w:t xml:space="preserve">2027 lab risk:</w:t>
      </w:r>
      <w:r>
        <w:t xml:space="preserve"> </w:t>
      </w:r>
      <w:r>
        <w:t xml:space="preserve">Have known 2027 expirations or potential move-outs changed since the May call?</w:t>
      </w:r>
    </w:p>
    <w:p>
      <w:pPr>
        <w:pStyle w:val="Compact"/>
        <w:numPr>
          <w:ilvl w:val="0"/>
          <w:numId w:val="1015"/>
        </w:numPr>
      </w:pPr>
      <w:r>
        <w:rPr>
          <w:b/>
          <w:bCs/>
        </w:rPr>
        <w:t xml:space="preserve">Lease economics:</w:t>
      </w:r>
      <w:r>
        <w:t xml:space="preserve"> </w:t>
      </w:r>
      <w:r>
        <w:t xml:space="preserve">Are lab rents, tenant-improvement packages, and leasing concessions holding within underwriting?</w:t>
      </w:r>
    </w:p>
    <w:p>
      <w:pPr>
        <w:pStyle w:val="Compact"/>
        <w:numPr>
          <w:ilvl w:val="0"/>
          <w:numId w:val="1015"/>
        </w:numPr>
      </w:pPr>
      <w:r>
        <w:rPr>
          <w:b/>
          <w:bCs/>
        </w:rPr>
        <w:t xml:space="preserve">Gateway Crossing:</w:t>
      </w:r>
      <w:r>
        <w:t xml:space="preserve"> </w:t>
      </w:r>
      <w:r>
        <w:t xml:space="preserve">How much additional leasing has been completed, and when does it become a material FFO contributor?</w:t>
      </w:r>
    </w:p>
    <w:p>
      <w:pPr>
        <w:pStyle w:val="Compact"/>
        <w:numPr>
          <w:ilvl w:val="0"/>
          <w:numId w:val="1015"/>
        </w:numPr>
      </w:pPr>
      <w:r>
        <w:rPr>
          <w:b/>
          <w:bCs/>
        </w:rPr>
        <w:t xml:space="preserve">Senior housing:</w:t>
      </w:r>
      <w:r>
        <w:t xml:space="preserve"> </w:t>
      </w:r>
      <w:r>
        <w:t xml:space="preserve">Is same-store NOI still tracking materially ahead of the original plan, and what is the cost outlook?</w:t>
      </w:r>
    </w:p>
    <w:p>
      <w:pPr>
        <w:pStyle w:val="Compact"/>
        <w:numPr>
          <w:ilvl w:val="0"/>
          <w:numId w:val="1015"/>
        </w:numPr>
      </w:pPr>
      <w:r>
        <w:rPr>
          <w:b/>
          <w:bCs/>
        </w:rPr>
        <w:t xml:space="preserve">Janus deployment:</w:t>
      </w:r>
      <w:r>
        <w:t xml:space="preserve"> </w:t>
      </w:r>
      <w:r>
        <w:t xml:space="preserve">How much of the IPO cash has been committed or invested, and what is the expected timing of accretion?</w:t>
      </w:r>
    </w:p>
    <w:p>
      <w:pPr>
        <w:pStyle w:val="Compact"/>
        <w:numPr>
          <w:ilvl w:val="0"/>
          <w:numId w:val="1015"/>
        </w:numPr>
      </w:pPr>
      <w:r>
        <w:rPr>
          <w:b/>
          <w:bCs/>
        </w:rPr>
        <w:t xml:space="preserve">Capital recycling:</w:t>
      </w:r>
      <w:r>
        <w:t xml:space="preserve"> </w:t>
      </w:r>
      <w:r>
        <w:t xml:space="preserve">Which additional JV recapitalizations, asset sales, or acquisitions are likely to close in 2H26?</w:t>
      </w:r>
    </w:p>
    <w:p>
      <w:pPr>
        <w:pStyle w:val="Compact"/>
        <w:numPr>
          <w:ilvl w:val="0"/>
          <w:numId w:val="1015"/>
        </w:numPr>
      </w:pPr>
      <w:r>
        <w:rPr>
          <w:b/>
          <w:bCs/>
        </w:rPr>
        <w:t xml:space="preserve">Buybacks:</w:t>
      </w:r>
      <w:r>
        <w:t xml:space="preserve"> </w:t>
      </w:r>
      <w:r>
        <w:t xml:space="preserve">Did DOC use any of the remaining repurchase authorization before its July expiration, and is a new authorization likely?</w:t>
      </w:r>
    </w:p>
    <w:p>
      <w:pPr>
        <w:pStyle w:val="Compact"/>
        <w:numPr>
          <w:ilvl w:val="0"/>
          <w:numId w:val="1015"/>
        </w:numPr>
      </w:pPr>
      <w:r>
        <w:rPr>
          <w:b/>
          <w:bCs/>
        </w:rPr>
        <w:t xml:space="preserve">Interest expense:</w:t>
      </w:r>
      <w:r>
        <w:t xml:space="preserve"> </w:t>
      </w:r>
      <w:r>
        <w:t xml:space="preserve">What is the updated impact from refinancing lower-coupon debt at higher current rates?</w:t>
      </w:r>
    </w:p>
    <w:p>
      <w:pPr>
        <w:pStyle w:val="Compact"/>
        <w:numPr>
          <w:ilvl w:val="0"/>
          <w:numId w:val="1015"/>
        </w:numPr>
      </w:pPr>
      <w:r>
        <w:rPr>
          <w:b/>
          <w:bCs/>
        </w:rPr>
        <w:t xml:space="preserve">Guidance:</w:t>
      </w:r>
      <w:r>
        <w:t xml:space="preserve"> </w:t>
      </w:r>
      <w:r>
        <w:t xml:space="preserve">Is management still comfortable with</w:t>
      </w:r>
      <w:r>
        <w:t xml:space="preserve"> </w:t>
      </w:r>
      <m:oMath>
        <m:r>
          <m:t>1.71</m:t>
        </m:r>
        <m:r>
          <m:rPr>
            <m:sty m:val="p"/>
          </m:rPr>
          <m:t>–</m:t>
        </m:r>
      </m:oMath>
      <w:r>
        <w:t xml:space="preserve">1.75 of 2026 FFO as adjusted, and where does it see the clearest upside or downside risk?</w:t>
      </w:r>
    </w:p>
    <w:p>
      <w:r>
        <w:pict>
          <v:rect style="width:0;height:1.5pt" o:hralign="center" o:hrstd="t" o:hr="t"/>
        </w:pict>
      </w:r>
    </w:p>
    <w:bookmarkEnd w:id="20"/>
    <w:bookmarkStart w:id="21" w:name="investment-takeaway"/>
    <w:p>
      <w:pPr>
        <w:pStyle w:val="Heading2"/>
      </w:pPr>
      <w:r>
        <w:t xml:space="preserve">Investment takeaway</w:t>
      </w:r>
    </w:p>
    <w:p>
      <w:pPr>
        <w:pStyle w:val="FirstParagraph"/>
      </w:pPr>
      <w:r>
        <w:rPr>
          <w:b/>
          <w:bCs/>
        </w:rPr>
        <w:t xml:space="preserve">The setup is constructive, but expectations are higher.</w:t>
      </w:r>
      <w:r>
        <w:t xml:space="preserve"> </w:t>
      </w:r>
      <w:r>
        <w:t xml:space="preserve">DOC has transitioned from a “show me” story to an execution story: outpatient medical is working, senior housing is growing, Janus has created a new strategic lever, and lab demand appears to be improving.</w:t>
      </w:r>
    </w:p>
    <w:p>
      <w:pPr>
        <w:pStyle w:val="BodyText"/>
      </w:pPr>
      <w:r>
        <w:t xml:space="preserve">For this report, the most important signal will be whether management can substantiate its claim that lab occupancy is on a durable upward path. If it can, investors may increasingly value DOC on 2027 earnings power rather than the currently depressed lab NOI base. If lab progress disappoints, the stock’s recent rerating leaves less room for patience.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2026-08-04T01:53:26Z</dcterms:created>
  <dcterms:modified xsi:type="dcterms:W3CDTF">2026-08-04T01:53:26Z</dcterms:modified>
</cp:coreProperties>
</file>

<file path=docProps/custom.xml><?xml version="1.0" encoding="utf-8"?>
<Properties xmlns="http://schemas.openxmlformats.org/officeDocument/2006/custom-properties" xmlns:vt="http://schemas.openxmlformats.org/officeDocument/2006/docPropsVTypes"/>
</file>