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c-earnings-predictions--2026-08-04"/>
    <w:p>
      <w:pPr>
        <w:pStyle w:val="Heading1"/>
      </w:pPr>
      <w:r>
        <w:t xml:space="preserve">DOC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 as Adjusted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~$0.43 vs. cons $0.395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Senior Housing SS NOI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~+20-22% vs. cons +17.0%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Lab SS NOI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~-6 to -7% vs. cons -5.7%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 as Adjusted FY 2026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1.72</m:t>
              </m:r>
              <m:r>
                <m:rPr>
                  <m:sty m:val="p"/>
                </m:rPr>
                <m:t>−</m:t>
              </m:r>
            </m:oMath>
            <w:r>
              <w:t xml:space="preserve">1.76 mid vs. cons $1.570 (Adj) / $1.755 (Core)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Senior Housing SS NOI FY 2026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~+12-16% vs. cons +14.4%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Lab SS NOI FY 2026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-5% to -8% (tighten) vs. cons -4.9%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- beat-and-raise is mechanical (FY raise = Q2 beat flowing through), lab recovery remains a 2027 story, +11% pre-earnings run already priced in peer read-throughs and short covering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2026-08-07T02:02:40Z</dcterms:created>
  <dcterms:modified xsi:type="dcterms:W3CDTF">2026-08-07T02:02:40Z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