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uk-earnings-predictions--2026-08-04"/>
    <w:p>
      <w:pPr>
        <w:pStyle w:val="Heading1"/>
      </w:pPr>
      <w:r>
        <w:t xml:space="preserve">DUK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~$1.30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~$7.70B vs. cons $7.66B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Executed data-center ESAs (GW signed)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~8.5 GW vs. prior/implied cons ~7.6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6.55</m:t>
              </m:r>
              <m:r>
                <m:rPr>
                  <m:sty m:val="p"/>
                </m:rPr>
                <m:t>–</m:t>
              </m:r>
            </m:oMath>
            <w:r>
              <w:t xml:space="preserve">6.80 (mid $6.68) vs. cons $6.71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(top-half from 2028)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5–7% vs. cons ~6% (2025–2030 CAGR)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DEC NC rate case outcome (already settled 7/17)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settled 9.8% ROE, $496M/2yr req vs. original $1,002M ask (DEC NC, rates 1/1/2027)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Late-stage data-center pipeline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 GW vs. prior 15.4 GW (late-stage pipeline)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Five-year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~$103B vs. prior $103B (2025–2029 capex plan)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(STABILIZE)</w:t>
            </w:r>
          </w:p>
        </w:tc>
        <w:tc>
          <w:tcPr/>
          <w:p>
            <w:pPr>
              <w:pStyle w:val="Compact"/>
            </w:pPr>
            <w:r>
              <w:t xml:space="preserve">Q2 is DUK's seasonally light, low-stakes print and the single biggest near-term catalyst — the DEC NC rate case — was already resolved constructively on 7/17 (9.8% ROE, rates 1/1/27), so it is de-risked rather than a fresh surprise. With FY26 guide (</w:t>
            </w:r>
            <m:oMath>
              <m:r>
                <m:t>6.55</m:t>
              </m:r>
              <m:r>
                <m:rPr>
                  <m:sty m:val="p"/>
                </m:rPr>
                <m:t>–</m:t>
              </m:r>
              <m:r>
                <m:t>6.80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5</m:t>
              </m:r>
              <m:r>
                <m:rPr>
                  <m:sty m:val="p"/>
                </m:rPr>
                <m:t>–</m:t>
              </m:r>
              <m:r>
                <m:t>7</m:t>
              </m:r>
            </m:oMath>
            <w:r>
              <w:t xml:space="preserve">6.71) already inside the range, there are no implicit out-period cuts to pull estimates down; if anything, higher signed data-center ESAs supply modest upward bias. Absent a revision impulse, the low-beta name mean-reverts around its pre-print level after the initial reaction, though a still-soft regulated-utility tape (SO/NEE weak) caps upside — hence stabilize, not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2026-08-04T01:06:37Z</dcterms:created>
  <dcterms:modified xsi:type="dcterms:W3CDTF">2026-08-04T01:06:37Z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