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56e55b0fbe776a7c4993cf1f316a0648ebb4e44"/>
    <w:p>
      <w:pPr>
        <w:pStyle w:val="Heading1"/>
      </w:pPr>
      <w:r>
        <w:t xml:space="preserve">Duke Energy (DUK) — Q2 2026 Earnings Preview</w:t>
      </w:r>
    </w:p>
    <w:bookmarkStart w:id="9" w:name="X5181aa75704b6ef3518111de7ef35e0d64516c6"/>
    <w:p>
      <w:pPr>
        <w:pStyle w:val="Heading3"/>
      </w:pPr>
      <w:r>
        <w:t xml:space="preserve">Reports Tuesday, August 4, 2026 (before open)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Duke reports its seasonally lightest quarter Tuesday morning. This is a "steady-eddie" regulated utility story where the earnings print itself rarely moves the stock much — the debate is entirely about the</w:t>
      </w:r>
      <w:r>
        <w:t xml:space="preserve"> </w:t>
      </w:r>
      <w:r>
        <w:rPr>
          <w:b/>
          <w:bCs/>
        </w:rPr>
        <w:t xml:space="preserve">multi-year growth trajectory</w:t>
      </w:r>
      <w:r>
        <w:t xml:space="preserve">, driven by data-center load, the Carolinas rate cases, and balance-sheet execution. Expect management (CEO Harry Sideris, CFO Brian Savoy) to reaffirm rather than revise, and to spend the call on the load-growth pipeline.</w:t>
      </w:r>
    </w:p>
    <w:p>
      <w:pPr>
        <w:pStyle w:val="BodyText"/>
      </w:pPr>
      <w:r>
        <w:rPr>
          <w:b/>
          <w:bCs/>
        </w:rPr>
        <w:t xml:space="preserve">Consensus expectations (Q2 2026):</w:t>
      </w:r>
      <w:r>
        <w:t xml:space="preserve"> </w:t>
      </w:r>
      <w:r>
        <w:t xml:space="preserve">| Metric | Consensus | Y/Y |</w:t>
      </w:r>
      <w:r>
        <w:t xml:space="preserve"> </w:t>
      </w:r>
      <w:r>
        <w:t xml:space="preserve">|---|---|---|</w:t>
      </w:r>
      <w:r>
        <w:t xml:space="preserve"> </w:t>
      </w:r>
      <w:r>
        <w:t xml:space="preserve">| Adjusted EPS | ~$1.29 | +3.2% vs.</w:t>
      </w:r>
      <w:r>
        <w:t xml:space="preserve"> </w:t>
      </w:r>
      <m:oMath>
        <m:r>
          <m:t>1.25</m:t>
        </m:r>
        <m:r>
          <m:rPr>
            <m:sty m:val="p"/>
          </m:rPr>
          <m:t>|</m:t>
        </m:r>
        <m:r>
          <m:rPr>
            <m:sty m:val="p"/>
          </m:rPr>
          <m:t>|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|</m:t>
        </m:r>
        <m:r>
          <m:t> </m:t>
        </m:r>
      </m:oMath>
      <w:r>
        <w:t xml:space="preserve">7.6–7.7B | ~+2.6% |</w:t>
      </w:r>
    </w:p>
    <w:p>
      <w:pPr>
        <w:pStyle w:val="Compact"/>
        <w:numPr>
          <w:ilvl w:val="0"/>
          <w:numId w:val="1001"/>
        </w:numPr>
      </w:pPr>
      <w:r>
        <w:t xml:space="preserve">Street sits at roughly</w:t>
      </w:r>
      <w:r>
        <w:t xml:space="preserve"> </w:t>
      </w:r>
      <m:oMath>
        <m:r>
          <m:t>1.29</m:t>
        </m:r>
        <m:r>
          <m:rPr>
            <m:sty m:val="p"/>
          </m:rPr>
          <m:t>–</m:t>
        </m:r>
      </m:oMath>
      <w:r>
        <w:rPr>
          <w:b/>
          <w:bCs/>
        </w:rPr>
        <w:t xml:space="preserve">1.30 adjusted EPS</w:t>
      </w:r>
      <w:r>
        <w:t xml:space="preserve"> </w:t>
      </w:r>
      <w:r>
        <w:t xml:space="preserve">on ~</w:t>
      </w:r>
      <w:r>
        <w:rPr>
          <w:b/>
          <w:bCs/>
        </w:rPr>
        <w:t xml:space="preserve">$7.66B revenue</w:t>
      </w:r>
      <w:r>
        <w:t xml:space="preserve">, versus $1.25 in Q2 2025.</w:t>
      </w:r>
    </w:p>
    <w:p>
      <w:pPr>
        <w:pStyle w:val="Compact"/>
        <w:numPr>
          <w:ilvl w:val="0"/>
          <w:numId w:val="1001"/>
        </w:numPr>
      </w:pPr>
      <w:r>
        <w:t xml:space="preserve">Full-year 2026 consensus (~</w:t>
      </w:r>
      <m:oMath>
        <m:r>
          <m:t>6.71</m:t>
        </m:r>
        <m:r>
          <m:rPr>
            <m:sty m:val="p"/>
          </m:rPr>
          <m:t>)</m:t>
        </m:r>
        <m:r>
          <m:t>l</m:t>
        </m:r>
        <m:r>
          <m:t>a</m:t>
        </m:r>
        <m:r>
          <m:t>n</m:t>
        </m:r>
        <m:r>
          <m:t>d</m:t>
        </m:r>
        <m:r>
          <m:t>s</m:t>
        </m:r>
        <m:r>
          <m:t>c</m:t>
        </m:r>
        <m:r>
          <m:t>o</m:t>
        </m:r>
        <m:r>
          <m:t>m</m:t>
        </m:r>
        <m:r>
          <m:t>f</m:t>
        </m:r>
        <m:r>
          <m:t>o</m:t>
        </m:r>
        <m:r>
          <m:t>r</m:t>
        </m:r>
        <m:r>
          <m:t>t</m:t>
        </m:r>
        <m:r>
          <m:t>a</m:t>
        </m:r>
        <m:r>
          <m:t>b</m:t>
        </m:r>
        <m:r>
          <m:t>l</m:t>
        </m:r>
        <m:r>
          <m:t>y</m:t>
        </m:r>
        <m:r>
          <m:t>i</m:t>
        </m:r>
        <m:r>
          <m:t>n</m:t>
        </m:r>
        <m:r>
          <m:t>s</m:t>
        </m:r>
        <m:r>
          <m:t>i</m:t>
        </m:r>
        <m:r>
          <m:t>d</m:t>
        </m:r>
        <m:r>
          <m:t>e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sSup>
          <m:e>
            <m:r>
              <m:t>t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6.55–$6.80 guidance** range.</w:t>
      </w:r>
    </w:p>
    <w:p>
      <w:pPr>
        <w:pStyle w:val="Compact"/>
        <w:numPr>
          <w:ilvl w:val="0"/>
          <w:numId w:val="1001"/>
        </w:numPr>
      </w:pPr>
      <w:r>
        <w:t xml:space="preserve">DUK beat by ~7.8% last quarter (Q1 2026 adjusted EPS of $1.93 vs. $1.76 a year prior), so momentum coming in is positive.</w:t>
      </w:r>
    </w:p>
    <w:p>
      <w:r>
        <w:pict>
          <v:rect style="width:0;height:1.5pt" o:hralign="center" o:hrstd="t" o:hr="t"/>
        </w:pict>
      </w:r>
    </w:p>
    <w:bookmarkEnd w:id="10"/>
    <w:bookmarkStart w:id="17" w:name="X2c597a0a71b00e3d50fa29c3c0dcdb819c9c152"/>
    <w:p>
      <w:pPr>
        <w:pStyle w:val="Heading2"/>
      </w:pPr>
      <w:r>
        <w:t xml:space="preserve">Why Q2 Is a Low-Stakes Print (and What Actually Matters)</w:t>
      </w:r>
    </w:p>
    <w:p>
      <w:pPr>
        <w:pStyle w:val="FirstParagraph"/>
      </w:pPr>
      <w:r>
        <w:t xml:space="preserve">Q2 is a shoulder quarter for DUK (no peak summer/winter load fully captured), so the absolute number is less important than confirmation of the full-year path. What investors should focus on:</w:t>
      </w:r>
    </w:p>
    <w:bookmarkStart w:id="11" w:name="Xa94371c6cc590c1965ef2a1768e40373aa230ab"/>
    <w:p>
      <w:pPr>
        <w:pStyle w:val="Heading3"/>
      </w:pPr>
      <w:r>
        <w:t xml:space="preserve">1. Guidance reaffirmation — the base case</w:t>
      </w:r>
    </w:p>
    <w:p>
      <w:pPr>
        <w:pStyle w:val="FirstParagraph"/>
      </w:pPr>
      <w:r>
        <w:t xml:space="preserve">Management reaffirmed</w:t>
      </w:r>
      <w:r>
        <w:t xml:space="preserve"> </w:t>
      </w:r>
      <w:r>
        <w:rPr>
          <w:b/>
          <w:bCs/>
        </w:rPr>
        <w:t xml:space="preserve">2026 adjusted EPS of</w:t>
      </w:r>
      <w:r>
        <w:rPr>
          <w:b/>
          <w:bCs/>
        </w:rPr>
        <w:t xml:space="preserve"> </w:t>
      </w:r>
      <m:oMath>
        <m:r>
          <m:t>6.55</m:t>
        </m:r>
        <m:r>
          <m:rPr>
            <m:sty m:val="p"/>
          </m:rPr>
          <m:t>–</m:t>
        </m:r>
      </m:oMath>
      <w:r>
        <w:rPr>
          <w:b/>
          <w:bCs/>
        </w:rPr>
        <w:t xml:space="preserve">6.80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5%–7% long-term growth rate through 2030</w:t>
      </w:r>
      <w:r>
        <w:t xml:space="preserve"> </w:t>
      </w:r>
      <w:r>
        <w:t xml:space="preserve">(off the 2025 $6.30 midpoint) on the Q1 call, and notably reiterated</w:t>
      </w:r>
      <w:r>
        <w:t xml:space="preserve"> </w:t>
      </w:r>
      <w:r>
        <w:rPr>
          <w:b/>
          <w:bCs/>
        </w:rPr>
        <w:t xml:space="preserve">confidence to earn in the top half of the range beginning in 2028</w:t>
      </w:r>
      <w:r>
        <w:t xml:space="preserve"> </w:t>
      </w:r>
      <w:r>
        <w:t xml:space="preserve">as data-center loads ramp. Any change to this framing — especially the "top half from 2028" language — is the single most important thing on the call. A reaffirmation is the expected outcome.</w:t>
      </w:r>
    </w:p>
    <w:bookmarkEnd w:id="11"/>
    <w:bookmarkStart w:id="12" w:name="X123eb6e86e3e2a18f97fd6122af6615c0f66f72"/>
    <w:p>
      <w:pPr>
        <w:pStyle w:val="Heading3"/>
      </w:pPr>
      <w:r>
        <w:t xml:space="preserve">2. Data-center / economic development pipeline — the growth engine</w:t>
      </w:r>
    </w:p>
    <w:p>
      <w:pPr>
        <w:pStyle w:val="FirstParagraph"/>
      </w:pPr>
      <w:r>
        <w:t xml:space="preserve">This is the crux of the DUK bull case. As of Q1 2026: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~7.6 GW of executed ESAs</w:t>
      </w:r>
      <w:r>
        <w:t xml:space="preserve"> </w:t>
      </w:r>
      <w:r>
        <w:t xml:space="preserve">(Electric Service Agreements) with data-center customers, with ~2/3 already under construction.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2.7 GW signed in Q1 alone</w:t>
      </w:r>
      <w:r>
        <w:t xml:space="preserve"> </w:t>
      </w:r>
      <w:r>
        <w:t xml:space="preserve">— more than half of all of 2025's signings — a signal of accelerating "speed to power."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Late-stage, high-confidence pipeline of 15.4 GW</w:t>
      </w:r>
      <w:r>
        <w:t xml:space="preserve"> </w:t>
      </w:r>
      <w:r>
        <w:t xml:space="preserve">(inclusive of signed ESAs), with management guiding to convert more prospects to ESAs "over the next 12 months."</w:t>
      </w:r>
    </w:p>
    <w:p>
      <w:pPr>
        <w:pStyle w:val="Compact"/>
        <w:numPr>
          <w:ilvl w:val="0"/>
          <w:numId w:val="1002"/>
        </w:numPr>
      </w:pPr>
      <w:r>
        <w:t xml:space="preserve">Load ramps expected to begin</w:t>
      </w:r>
      <w:r>
        <w:t xml:space="preserve"> </w:t>
      </w:r>
      <w:r>
        <w:rPr>
          <w:b/>
          <w:bCs/>
        </w:rPr>
        <w:t xml:space="preserve">2H 2027 into 2028</w:t>
      </w:r>
      <w:r>
        <w:t xml:space="preserve">, ramping through the early-to-mid 2030s.</w:t>
      </w:r>
    </w:p>
    <w:p>
      <w:pPr>
        <w:pStyle w:val="FirstParagraph"/>
      </w:pPr>
      <w:r>
        <w:rPr>
          <w:b/>
          <w:bCs/>
        </w:rPr>
        <w:t xml:space="preserve">Watch for:</w:t>
      </w:r>
      <w:r>
        <w:t xml:space="preserve"> </w:t>
      </w:r>
      <w:r>
        <w:t xml:space="preserve">an updated ESA figure (does it move above 7.6 GW?), any new hubs (Charlotte/NC, Florida, Southern Indiana were called out as accelerating), and whether the pipeline supports an upward capital-plan revision. Contract protections (minimum-take, refundable capital advances, termination/clawback charges, credit support) are a recurring reassurance theme given affordability scrutiny.</w:t>
      </w:r>
    </w:p>
    <w:bookmarkEnd w:id="12"/>
    <w:bookmarkStart w:id="13" w:name="X1b4b42e10b7f7d29563623bed757968be4b5264"/>
    <w:p>
      <w:pPr>
        <w:pStyle w:val="Heading3"/>
      </w:pPr>
      <w:r>
        <w:t xml:space="preserve">3. Carolinas rate cases — the near-term regulatory catalyst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Duke Energy Carolinas (DEC)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Duke Energy Progress (DEP)</w:t>
      </w:r>
      <w:r>
        <w:t xml:space="preserve"> </w:t>
      </w:r>
      <w:r>
        <w:t xml:space="preserve">North Carolina rate cases are progressing. On the Q1 call, management flagged intervenor testimony as the next milestone and left the door open to</w:t>
      </w:r>
      <w:r>
        <w:t xml:space="preserve"> </w:t>
      </w:r>
      <w:r>
        <w:rPr>
          <w:b/>
          <w:bCs/>
        </w:rPr>
        <w:t xml:space="preserve">settlement</w:t>
      </w:r>
      <w:r>
        <w:t xml:space="preserve"> </w:t>
      </w:r>
      <w:r>
        <w:t xml:space="preserve">("we always are open to that... but we have a strong case if we have to litigate"). Given elevated affordability/political scrutiny, watch for:</w:t>
      </w:r>
    </w:p>
    <w:p>
      <w:pPr>
        <w:pStyle w:val="Compact"/>
        <w:numPr>
          <w:ilvl w:val="0"/>
          <w:numId w:val="1003"/>
        </w:numPr>
      </w:pPr>
      <w:r>
        <w:t xml:space="preserve">Settlement progress vs. litigation.</w:t>
      </w:r>
    </w:p>
    <w:p>
      <w:pPr>
        <w:pStyle w:val="Compact"/>
        <w:numPr>
          <w:ilvl w:val="0"/>
          <w:numId w:val="1003"/>
        </w:numPr>
      </w:pPr>
      <w:r>
        <w:t xml:space="preserve">How DUK uses "levers" to soften the customer-bill ask — tax-credit monetization and merger savings (below).</w:t>
      </w:r>
    </w:p>
    <w:bookmarkEnd w:id="13"/>
    <w:bookmarkStart w:id="14" w:name="X87d71f1012e777a93813ad07ed65fec85ab47a1"/>
    <w:p>
      <w:pPr>
        <w:pStyle w:val="Heading3"/>
      </w:pPr>
      <w:r>
        <w:t xml:space="preserve">4. The DEC/DEP utility combination</w:t>
      </w:r>
    </w:p>
    <w:p>
      <w:pPr>
        <w:pStyle w:val="FirstParagraph"/>
      </w:pPr>
      <w:r>
        <w:t xml:space="preserve">DUK received all regulatory approvals (FERC, NC, SC) to</w:t>
      </w:r>
      <w:r>
        <w:t xml:space="preserve"> </w:t>
      </w:r>
      <w:r>
        <w:rPr>
          <w:b/>
          <w:bCs/>
        </w:rPr>
        <w:t xml:space="preserve">combine its two Carolina utilities</w:t>
      </w:r>
      <w:r>
        <w:t xml:space="preserve">, targeting a</w:t>
      </w:r>
      <w:r>
        <w:t xml:space="preserve"> </w:t>
      </w:r>
      <w:r>
        <w:rPr>
          <w:b/>
          <w:bCs/>
        </w:rPr>
        <w:t xml:space="preserve">January 1, 2027 effective date</w:t>
      </w:r>
      <w:r>
        <w:t xml:space="preserve">, with estimated</w:t>
      </w:r>
      <w:r>
        <w:t xml:space="preserve"> </w:t>
      </w:r>
      <w:r>
        <w:rPr>
          <w:b/>
          <w:bCs/>
        </w:rPr>
        <w:t xml:space="preserve">$2.3B of customer savings through 2040</w:t>
      </w:r>
      <w:r>
        <w:t xml:space="preserve">. Expect updates on integration and how it interacts with the rate cases.</w:t>
      </w:r>
    </w:p>
    <w:bookmarkEnd w:id="14"/>
    <w:bookmarkStart w:id="15" w:name="Xfa41d24e9f86c45d9f109542d3304f7c497f8da"/>
    <w:p>
      <w:pPr>
        <w:pStyle w:val="Heading3"/>
      </w:pPr>
      <w:r>
        <w:t xml:space="preserve">5. Balance sheet / funding — de-risking the capex plan</w:t>
      </w:r>
    </w:p>
    <w:p>
      <w:pPr>
        <w:pStyle w:val="FirstParagraph"/>
      </w:pPr>
      <w:r>
        <w:t xml:space="preserve">DUK is funding a</w:t>
      </w:r>
      <w:r>
        <w:t xml:space="preserve"> </w:t>
      </w:r>
      <w:r>
        <w:rPr>
          <w:b/>
          <w:bCs/>
        </w:rPr>
        <w:t xml:space="preserve">$103B five-year capital plan</w:t>
      </w:r>
      <w:r>
        <w:t xml:space="preserve">, and has leaned on non-dilutive levers:</w:t>
      </w:r>
    </w:p>
    <w:p>
      <w:pPr>
        <w:pStyle w:val="Compact"/>
        <w:numPr>
          <w:ilvl w:val="0"/>
          <w:numId w:val="1004"/>
        </w:numPr>
      </w:pPr>
      <w:r>
        <w:t xml:space="preserve">**Piedmont Natural Gas Tennessee sale to Spire — closed for ~</w:t>
      </w:r>
      <m:oMath>
        <m:r>
          <m:t>2.5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 </m:t>
        </m:r>
      </m:oMath>
      <w:r>
        <w:t xml:space="preserve">800M to pay down Piedmont debt, ~$1.5B net to fund capex). This is a</w:t>
      </w:r>
      <w:r>
        <w:t xml:space="preserve"> </w:t>
      </w:r>
      <w:r>
        <w:rPr>
          <w:b/>
          <w:bCs/>
        </w:rPr>
        <w:t xml:space="preserve">Gas Utilities segment tailwind</w:t>
      </w:r>
      <w:r>
        <w:t xml:space="preserve"> </w:t>
      </w:r>
      <w:r>
        <w:t xml:space="preserve">to reported results, though the gain is a special item excluded from adjusted EPS.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Brookfield minority investment in Duke Energy Florida</w:t>
      </w:r>
      <w:r>
        <w:t xml:space="preserve"> </w:t>
      </w:r>
      <w:r>
        <w:t xml:space="preserve">— first tranche closed for</w:t>
      </w:r>
      <w:r>
        <w:t xml:space="preserve"> </w:t>
      </w:r>
      <w:r>
        <w:rPr>
          <w:b/>
          <w:bCs/>
        </w:rPr>
        <w:t xml:space="preserve">$2.8B (9.2% stake)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$3.1B multi-year clean-energy tax-credit monetization</w:t>
      </w:r>
      <w:r>
        <w:t xml:space="preserve"> </w:t>
      </w:r>
      <w:r>
        <w:t xml:space="preserve">agreement, with proceeds flowing back to customers to keep rates low.</w:t>
      </w:r>
    </w:p>
    <w:p>
      <w:pPr>
        <w:pStyle w:val="Compact"/>
        <w:numPr>
          <w:ilvl w:val="0"/>
          <w:numId w:val="1004"/>
        </w:numPr>
      </w:pPr>
      <w:r>
        <w:t xml:space="preserve">Targeting</w:t>
      </w:r>
      <w:r>
        <w:t xml:space="preserve"> </w:t>
      </w:r>
      <w:r>
        <w:rPr>
          <w:b/>
          <w:bCs/>
        </w:rPr>
        <w:t xml:space="preserve">14.5% FFO/debt in 2026</w:t>
      </w:r>
      <w:r>
        <w:t xml:space="preserve"> </w:t>
      </w:r>
      <w:r>
        <w:t xml:space="preserve">and ~15% long-term, with cushion above downgrade thresholds.</w:t>
      </w:r>
    </w:p>
    <w:p>
      <w:pPr>
        <w:pStyle w:val="Compact"/>
        <w:numPr>
          <w:ilvl w:val="0"/>
          <w:numId w:val="1004"/>
        </w:numPr>
      </w:pPr>
      <w:r>
        <w:t xml:space="preserve">Milestone:</w:t>
      </w:r>
      <w:r>
        <w:t xml:space="preserve"> </w:t>
      </w:r>
      <w:r>
        <w:rPr>
          <w:b/>
          <w:bCs/>
        </w:rPr>
        <w:t xml:space="preserve">100th consecutive year of paying a quarterly dividend.</w:t>
      </w:r>
    </w:p>
    <w:bookmarkEnd w:id="15"/>
    <w:bookmarkStart w:id="16" w:name="X04f32b9d9b900417417b29f205f6df3b18e1951"/>
    <w:p>
      <w:pPr>
        <w:pStyle w:val="Heading3"/>
      </w:pPr>
      <w:r>
        <w:t xml:space="preserve">6. Generation build-out</w:t>
      </w:r>
    </w:p>
    <w:p>
      <w:pPr>
        <w:pStyle w:val="FirstParagraph"/>
      </w:pPr>
      <w:r>
        <w:t xml:space="preserve">DUK plans</w:t>
      </w:r>
      <w:r>
        <w:t xml:space="preserve"> </w:t>
      </w:r>
      <w:r>
        <w:rPr>
          <w:b/>
          <w:bCs/>
        </w:rPr>
        <w:t xml:space="preserve">~14 GW of new generation over 5 years</w:t>
      </w:r>
      <w:r>
        <w:t xml:space="preserve"> </w:t>
      </w:r>
      <w:r>
        <w:t xml:space="preserve">— 5 GW of gas under construction (GE Vernova turbines, Zachry EPC in the Carolinas), plus nuclear life extensions (Robinson subsequent license renewal approved; intends to pursue all remaining reactors). Nuclear also delivers ~$600M/yr of tax credits benefiting customers.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8a438cd35b08b81cd6b44afb1259ee6b6594955"/>
    <w:p>
      <w:pPr>
        <w:pStyle w:val="Heading2"/>
      </w:pPr>
      <w:r>
        <w:t xml:space="preserve">Q1 2026 Recap (context for the Q2 read-through)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Reported EPS $1.97 / Adjusted EPS $1.93</w:t>
      </w:r>
      <w:r>
        <w:t xml:space="preserve"> </w:t>
      </w:r>
      <w:r>
        <w:t xml:space="preserve">vs. $1.76 (both bases) a year earlier.</w:t>
      </w:r>
    </w:p>
    <w:p>
      <w:pPr>
        <w:pStyle w:val="Compact"/>
        <w:numPr>
          <w:ilvl w:val="0"/>
          <w:numId w:val="1005"/>
        </w:numPr>
      </w:pPr>
      <w:r>
        <w:t xml:space="preserve">Electric Utilities &amp; Infrastructure drove +$0.16, on infrastructure-investment recovery and favorable (cold) weather, partly offset by higher O&amp;M (storm costs) and depreciation.</w:t>
      </w:r>
    </w:p>
    <w:p>
      <w:pPr>
        <w:pStyle w:val="Compact"/>
        <w:numPr>
          <w:ilvl w:val="0"/>
          <w:numId w:val="1005"/>
        </w:numPr>
      </w:pPr>
      <w:r>
        <w:t xml:space="preserve">Management reiterated a</w:t>
      </w:r>
      <w:r>
        <w:t xml:space="preserve"> </w:t>
      </w:r>
      <w:r>
        <w:rPr>
          <w:b/>
          <w:bCs/>
        </w:rPr>
        <w:t xml:space="preserve">flat full-year O&amp;M target</w:t>
      </w:r>
      <w:r>
        <w:t xml:space="preserve"> </w:t>
      </w:r>
      <w:r>
        <w:t xml:space="preserve">— Q1 storm costs were framed as timing.</w:t>
      </w:r>
      <w:r>
        <w:t xml:space="preserve"> </w:t>
      </w:r>
      <w:r>
        <w:rPr>
          <w:b/>
          <w:bCs/>
        </w:rPr>
        <w:t xml:space="preserve">Watch whether O&amp;M stays on that flat-for-the-year track</w:t>
      </w:r>
      <w:r>
        <w:t xml:space="preserve"> </w:t>
      </w:r>
      <w:r>
        <w:t xml:space="preserve">in Q2.</w:t>
      </w:r>
    </w:p>
    <w:p>
      <w:pPr>
        <w:pStyle w:val="Compact"/>
        <w:numPr>
          <w:ilvl w:val="0"/>
          <w:numId w:val="1005"/>
        </w:numPr>
      </w:pPr>
      <w:r>
        <w:t xml:space="preserve">Retail customer growth remains healthy (~1.4–1.6% electric customer growth), though industrial volumes are soft.</w:t>
      </w:r>
    </w:p>
    <w:p>
      <w:r>
        <w:pict>
          <v:rect style="width:0;height:1.5pt" o:hralign="center" o:hrstd="t" o:hr="t"/>
        </w:pict>
      </w:r>
    </w:p>
    <w:bookmarkEnd w:id="18"/>
    <w:bookmarkStart w:id="19" w:name="stock-context"/>
    <w:p>
      <w:pPr>
        <w:pStyle w:val="Heading2"/>
      </w:pPr>
      <w:r>
        <w:t xml:space="preserve">Stock Context</w:t>
      </w:r>
    </w:p>
    <w:p>
      <w:pPr>
        <w:pStyle w:val="FirstParagraph"/>
      </w:pPr>
      <w:r>
        <w:t xml:space="preserve">DUK has been rangebound-to-firm in 2026: it opened the year around</w:t>
      </w:r>
      <w:r>
        <w:t xml:space="preserve"> </w:t>
      </w:r>
      <m:oMath>
        <m:r>
          <m:t>117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p</m:t>
        </m:r>
        <m:r>
          <m:t>e</m:t>
        </m:r>
        <m:r>
          <m:t>a</m:t>
        </m:r>
        <m:r>
          <m:t>k</m:t>
        </m:r>
        <m:r>
          <m:t>e</m:t>
        </m:r>
        <m:r>
          <m:t>d</m:t>
        </m:r>
        <m:r>
          <m:t>n</m:t>
        </m:r>
        <m:r>
          <m:t>e</m:t>
        </m:r>
        <m:r>
          <m:t>a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133 in mid-March</w:t>
      </w:r>
      <w:r>
        <w:t xml:space="preserve">, and trades around</w:t>
      </w:r>
      <w:r>
        <w:t xml:space="preserve"> </w:t>
      </w:r>
      <w:r>
        <w:rPr>
          <w:b/>
          <w:bCs/>
        </w:rPr>
        <w:t xml:space="preserve">$124</w:t>
      </w:r>
      <w:r>
        <w:t xml:space="preserve"> </w:t>
      </w:r>
      <w:r>
        <w:t xml:space="preserve">heading into the print (up mid-single-digits YTD). The stock has drifted off its spring highs alongside the broader regulated-utility group (peers SO and NEE showed similar patterns). With guidance intact and consensus inside the range, the risk/reward into the print is asymmetric toward</w:t>
      </w:r>
      <w:r>
        <w:t xml:space="preserve"> </w:t>
      </w:r>
      <w:r>
        <w:rPr>
          <w:b/>
          <w:bCs/>
        </w:rPr>
        <w:t xml:space="preserve">commentary</w:t>
      </w:r>
      <w:r>
        <w:t xml:space="preserve"> </w:t>
      </w:r>
      <w:r>
        <w:t xml:space="preserve">(load pipeline, rate-case/settlement signals, any capex-plan upsizing) rather than the headline EPS.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--what-to-listen-for"/>
    <w:p>
      <w:pPr>
        <w:pStyle w:val="Heading2"/>
      </w:pPr>
      <w:r>
        <w:t xml:space="preserve">Bottom Line — What to Listen For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Guidance:</w:t>
      </w:r>
      <w:r>
        <w:t xml:space="preserve"> </w:t>
      </w:r>
      <w:r>
        <w:t xml:space="preserve">Reaffirmation of</w:t>
      </w:r>
      <w:r>
        <w:t xml:space="preserve"> </w:t>
      </w:r>
      <m:oMath>
        <m:r>
          <m:t>6.55</m:t>
        </m:r>
        <m:r>
          <m:rPr>
            <m:sty m:val="p"/>
          </m:rPr>
          <m:t>–</m:t>
        </m:r>
      </m:oMath>
      <w:r>
        <w:t xml:space="preserve">6.80 (2026) and 5–7% through 2030 with "top half from 2028" intact. Any upgrade to the plan would be a positive surprise.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ESA count:</w:t>
      </w:r>
      <w:r>
        <w:t xml:space="preserve"> </w:t>
      </w:r>
      <w:r>
        <w:t xml:space="preserve">Movement above 7.6 GW signed and/or 15.4 GW pipeline — the clearest signal of durable, decade-plus growth.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Carolinas rate cases:</w:t>
      </w:r>
      <w:r>
        <w:t xml:space="preserve"> </w:t>
      </w:r>
      <w:r>
        <w:t xml:space="preserve">Settlement vs. litigation path, and affordability offsets (tax credits, merger savings).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O&amp;M discipline:</w:t>
      </w:r>
      <w:r>
        <w:t xml:space="preserve"> </w:t>
      </w:r>
      <w:r>
        <w:t xml:space="preserve">Confirmation that full-year O&amp;M stays flat despite Q1 storm costs.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FFO/debt tracking to 14.5% and confirmation that asset-monetization proceeds have de-risked the equity-financing need.</w:t>
      </w:r>
    </w:p>
    <w:p>
      <w:pPr>
        <w:pStyle w:val="FirstParagraph"/>
      </w:pPr>
      <w:r>
        <w:t xml:space="preserve">For a low-beta regulated name, the story is unusually growth-oriented right now — the market wants proof the AI/data-center load thesis keeps converting into signed contracts and capital. The Q2 number should be a non-event; the guidance and pipeline commentary will set the tone.</w:t>
      </w:r>
    </w:p>
    <w:p>
      <w:pPr>
        <w:pStyle w:val="BodyText"/>
      </w:pPr>
      <w:r>
        <w:rPr>
          <w:i/>
          <w:iCs/>
        </w:rPr>
        <w:t xml:space="preserve">Note: DUK does not forecast GAAP EPS; guidance and Street estimates are on an adjusted basis. Q1 reported results included large special items (asset-sale gains on the Piedmont TN sale, and legal/regulatory settlement charges) excluded from adjusted EPS — expect similar reconciliation items in Q2 given the timing of transaction closings.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2026-08-04T01:06:36Z</dcterms:created>
  <dcterms:modified xsi:type="dcterms:W3CDTF">2026-08-04T01:06:36Z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