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duk-earnings-predictions--2026-08-04"/>
    <w:p>
      <w:pPr>
        <w:pStyle w:val="Heading1"/>
      </w:pPr>
      <w:r>
        <w:t xml:space="preserve">DUK Earnings Predictions — 2026-08-04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DUK</w:t>
            </w:r>
          </w:p>
        </w:tc>
        <w:tc>
          <w:tcPr/>
          <w:p>
            <w:pPr>
              <w:pStyle w:val="Compact"/>
            </w:pPr>
            <w:r>
              <w:t xml:space="preserve">Report</w:t>
            </w:r>
          </w:p>
        </w:tc>
        <w:tc>
          <w:tcPr/>
          <w:p>
            <w:pPr>
              <w:pStyle w:val="Compact"/>
            </w:pPr>
            <w:r>
              <w:t xml:space="preserve">Q2 2026 Adjusted EPS</w:t>
            </w:r>
          </w:p>
        </w:tc>
        <w:tc>
          <w:tcPr/>
          <w:p>
            <w:pPr>
              <w:pStyle w:val="Compact"/>
            </w:pPr>
            <w:r>
              <w:t xml:space="preserve">BEAT</w:t>
            </w:r>
          </w:p>
        </w:tc>
        <w:tc>
          <w:tcPr/>
          <w:p>
            <w:pPr>
              <w:pStyle w:val="Compact"/>
            </w:pPr>
            <w:r>
              <w:t xml:space="preserve">pred ~$1.32 vs. cons $1.29</w:t>
            </w:r>
          </w:p>
        </w:tc>
        <w:tc>
          <w:tcPr/>
          <w:p>
            <w:pPr>
              <w:pStyle w:val="Compact"/>
            </w:pPr>
            <w:r>
              <w:t xml:space="preserve">HIGH</w:t>
            </w:r>
          </w:p>
        </w:tc>
      </w:tr>
      <w:tr>
        <w:tc>
          <w:tcPr/>
          <w:p>
            <w:pPr>
              <w:pStyle w:val="Compact"/>
            </w:pPr>
            <w:r>
              <w:t xml:space="preserve">DUK</w:t>
            </w:r>
          </w:p>
        </w:tc>
        <w:tc>
          <w:tcPr/>
          <w:p>
            <w:pPr>
              <w:pStyle w:val="Compact"/>
            </w:pPr>
            <w:r>
              <w:t xml:space="preserve">Report</w:t>
            </w:r>
          </w:p>
        </w:tc>
        <w:tc>
          <w:tcPr/>
          <w:p>
            <w:pPr>
              <w:pStyle w:val="Compact"/>
            </w:pPr>
            <w:r>
              <w:t xml:space="preserve">Q2 2026 Total Revenue</w:t>
            </w:r>
          </w:p>
        </w:tc>
        <w:tc>
          <w:tcPr/>
          <w:p>
            <w:pPr>
              <w:pStyle w:val="Compact"/>
            </w:pPr>
            <w:r>
              <w:t xml:space="preserve">IN-LINE</w:t>
            </w:r>
          </w:p>
        </w:tc>
        <w:tc>
          <w:tcPr/>
          <w:p>
            <w:pPr>
              <w:pStyle w:val="Compact"/>
            </w:pPr>
            <w:r>
              <w:t xml:space="preserve">pred ~$7.70B vs. cons $7.68B</w:t>
            </w:r>
          </w:p>
        </w:tc>
        <w:tc>
          <w:tcPr/>
          <w:p>
            <w:pPr>
              <w:pStyle w:val="Compact"/>
            </w:pPr>
            <w:r>
              <w:t xml:space="preserve">MEDIUM</w:t>
            </w:r>
          </w:p>
        </w:tc>
      </w:tr>
      <w:tr>
        <w:tc>
          <w:tcPr/>
          <w:p>
            <w:pPr>
              <w:pStyle w:val="Compact"/>
            </w:pPr>
            <w:r>
              <w:t xml:space="preserve">DUK</w:t>
            </w:r>
          </w:p>
        </w:tc>
        <w:tc>
          <w:tcPr/>
          <w:p>
            <w:pPr>
              <w:pStyle w:val="Compact"/>
            </w:pPr>
            <w:r>
              <w:t xml:space="preserve">Report</w:t>
            </w:r>
          </w:p>
        </w:tc>
        <w:tc>
          <w:tcPr/>
          <w:p>
            <w:pPr>
              <w:pStyle w:val="Compact"/>
            </w:pPr>
            <w:r>
              <w:t xml:space="preserve">Data center/large-load ESA gigawatts secured (cumulative)</w:t>
            </w:r>
          </w:p>
        </w:tc>
        <w:tc>
          <w:tcPr/>
          <w:p>
            <w:pPr>
              <w:pStyle w:val="Compact"/>
            </w:pPr>
            <w:r>
              <w:t xml:space="preserve">BEAT</w:t>
            </w:r>
          </w:p>
        </w:tc>
        <w:tc>
          <w:tcPr/>
          <w:p>
            <w:pPr>
              <w:pStyle w:val="Compact"/>
            </w:pPr>
            <w:r>
              <w:t xml:space="preserve">pred ~17.5GW vs. cons/prior 15.4GW</w:t>
            </w:r>
          </w:p>
        </w:tc>
        <w:tc>
          <w:tcPr/>
          <w:p>
            <w:pPr>
              <w:pStyle w:val="Compact"/>
            </w:pPr>
            <w:r>
              <w:t xml:space="preserve">MEDIUM</w:t>
            </w:r>
          </w:p>
        </w:tc>
      </w:tr>
      <w:tr>
        <w:tc>
          <w:tcPr/>
          <w:p>
            <w:pPr>
              <w:pStyle w:val="Compact"/>
            </w:pPr>
            <w:r>
              <w:t xml:space="preserve">DUK</w:t>
            </w:r>
          </w:p>
        </w:tc>
        <w:tc>
          <w:tcPr/>
          <w:p>
            <w:pPr>
              <w:pStyle w:val="Compact"/>
            </w:pPr>
            <w:r>
              <w:t xml:space="preserve">Guide</w:t>
            </w:r>
          </w:p>
        </w:tc>
        <w:tc>
          <w:tcPr/>
          <w:p>
            <w:pPr>
              <w:pStyle w:val="Compact"/>
            </w:pPr>
            <w:r>
              <w:t xml:space="preserve">FY2026 Adjusted EPS guidance range</w:t>
            </w:r>
          </w:p>
        </w:tc>
        <w:tc>
          <w:tcPr/>
          <w:p>
            <w:pPr>
              <w:pStyle w:val="Compact"/>
            </w:pPr>
            <w:r>
              <w:t xml:space="preserve">UNCHANGED</w:t>
            </w:r>
          </w:p>
        </w:tc>
        <w:tc>
          <w:tcPr/>
          <w:p>
            <w:pPr>
              <w:pStyle w:val="Compact"/>
            </w:pPr>
            <w:r>
              <w:t xml:space="preserve">guide ~</w:t>
            </w:r>
            <m:oMath>
              <m:r>
                <m:t>6.55</m:t>
              </m:r>
              <m:r>
                <m:rPr>
                  <m:sty m:val="p"/>
                </m:rPr>
                <m:t>−</m:t>
              </m:r>
            </m:oMath>
            <w:r>
              <w:t xml:space="preserve">6.80 vs. cons</w:t>
            </w:r>
            <w:r>
              <w:t xml:space="preserve"> </w:t>
            </w:r>
            <m:oMath>
              <m:r>
                <m:t>6.55</m:t>
              </m:r>
              <m:r>
                <m:rPr>
                  <m:sty m:val="p"/>
                </m:rPr>
                <m:t>−</m:t>
              </m:r>
            </m:oMath>
            <w:r>
              <w:t xml:space="preserve">6.80 (FY2026)</w:t>
            </w:r>
          </w:p>
        </w:tc>
        <w:tc>
          <w:tcPr/>
          <w:p>
            <w:pPr>
              <w:pStyle w:val="Compact"/>
            </w:pPr>
            <w:r>
              <w:t xml:space="preserve">HIGH</w:t>
            </w:r>
          </w:p>
        </w:tc>
      </w:tr>
      <w:tr>
        <w:tc>
          <w:tcPr/>
          <w:p>
            <w:pPr>
              <w:pStyle w:val="Compact"/>
            </w:pPr>
            <w:r>
              <w:t xml:space="preserve">DUK</w:t>
            </w:r>
          </w:p>
        </w:tc>
        <w:tc>
          <w:tcPr/>
          <w:p>
            <w:pPr>
              <w:pStyle w:val="Compact"/>
            </w:pPr>
            <w:r>
              <w:t xml:space="preserve">Guide</w:t>
            </w:r>
          </w:p>
        </w:tc>
        <w:tc>
          <w:tcPr/>
          <w:p>
            <w:pPr>
              <w:pStyle w:val="Compact"/>
            </w:pPr>
            <w:r>
              <w:t xml:space="preserve">2026 FFO-to-debt target</w:t>
            </w:r>
          </w:p>
        </w:tc>
        <w:tc>
          <w:tcPr/>
          <w:p>
            <w:pPr>
              <w:pStyle w:val="Compact"/>
            </w:pPr>
            <w:r>
              <w:t xml:space="preserve">UNCHANGED</w:t>
            </w:r>
          </w:p>
        </w:tc>
        <w:tc>
          <w:tcPr/>
          <w:p>
            <w:pPr>
              <w:pStyle w:val="Compact"/>
            </w:pPr>
            <w:r>
              <w:t xml:space="preserve">guide ~14.5% vs. cons 14.5% (FY2026)</w:t>
            </w:r>
          </w:p>
        </w:tc>
        <w:tc>
          <w:tcPr/>
          <w:p>
            <w:pPr>
              <w:pStyle w:val="Compact"/>
            </w:pPr>
            <w:r>
              <w:t xml:space="preserve">MEDIUM</w:t>
            </w:r>
          </w:p>
        </w:tc>
      </w:tr>
      <w:tr>
        <w:tc>
          <w:tcPr/>
          <w:p>
            <w:pPr>
              <w:pStyle w:val="Compact"/>
            </w:pPr>
            <w:r>
              <w:t xml:space="preserve">DUK</w:t>
            </w:r>
          </w:p>
        </w:tc>
        <w:tc>
          <w:tcPr/>
          <w:p>
            <w:pPr>
              <w:pStyle w:val="Compact"/>
            </w:pPr>
            <w:r>
              <w:t xml:space="preserve">Guide</w:t>
            </w:r>
          </w:p>
        </w:tc>
        <w:tc>
          <w:tcPr/>
          <w:p>
            <w:pPr>
              <w:pStyle w:val="Compact"/>
            </w:pPr>
            <w:r>
              <w:t xml:space="preserve">NC rate case full settlement/ROE resolution timing</w:t>
            </w:r>
          </w:p>
        </w:tc>
        <w:tc>
          <w:tcPr/>
          <w:p>
            <w:pPr>
              <w:pStyle w:val="Compact"/>
            </w:pPr>
            <w:r>
              <w:t xml:space="preserve">UNKNOWN</w:t>
            </w:r>
          </w:p>
        </w:tc>
        <w:tc>
          <w:tcPr/>
          <w:p>
            <w:pPr>
              <w:pStyle w:val="Compact"/>
            </w:pPr>
            <w:r>
              <w:t xml:space="preserve">guide ~pending final order vs. cons pending final order (H2 2026)</w:t>
            </w:r>
          </w:p>
        </w:tc>
        <w:tc>
          <w:tcPr/>
          <w:p>
            <w:pPr>
              <w:pStyle w:val="Compact"/>
            </w:pPr>
            <w:r>
              <w:t xml:space="preserve">LOW</w:t>
            </w:r>
          </w:p>
        </w:tc>
      </w:tr>
      <w:tr>
        <w:tc>
          <w:tcPr/>
          <w:p>
            <w:pPr>
              <w:pStyle w:val="Compact"/>
            </w:pPr>
            <w:r>
              <w:t xml:space="preserve">DUK</w:t>
            </w:r>
          </w:p>
        </w:tc>
        <w:tc>
          <w:tcPr/>
          <w:p>
            <w:pPr>
              <w:pStyle w:val="Compact"/>
            </w:pPr>
            <w:r>
              <w:t xml:space="preserve">Return</w:t>
            </w:r>
          </w:p>
        </w:tc>
        <w:tc>
          <w:tcPr/>
          <w:p>
            <w:pPr>
              <w:pStyle w:val="Compact"/>
            </w:pPr>
            <w:r>
              <w:t xml:space="preserve">Day-1 residual (stock − beta × S&amp;P 500)</w:t>
            </w:r>
          </w:p>
        </w:tc>
        <w:tc>
          <w:tcPr/>
          <w:p>
            <w:pPr>
              <w:pStyle w:val="Compact"/>
            </w:pPr>
            <w:r>
              <w:t xml:space="preserve">+0.4%</w:t>
            </w:r>
          </w:p>
        </w:tc>
        <w:tc>
          <w:tcPr/>
          <w:p>
            <w:pPr>
              <w:pStyle w:val="Compact"/>
            </w:pPr>
            <w:r>
              <w:t xml:space="preserve">—</w:t>
            </w:r>
          </w:p>
        </w:tc>
        <w:tc>
          <w:tcPr/>
          <w:p>
            <w:pPr>
              <w:pStyle w:val="Compact"/>
            </w:pPr>
            <w:r>
              <w:t xml:space="preserve">LOW</w:t>
            </w:r>
          </w:p>
        </w:tc>
      </w:tr>
      <w:tr>
        <w:tc>
          <w:tcPr/>
          <w:p>
            <w:pPr>
              <w:pStyle w:val="Compact"/>
            </w:pPr>
            <w:r>
              <w:t xml:space="preserve">DUK</w:t>
            </w:r>
          </w:p>
        </w:tc>
        <w:tc>
          <w:tcPr/>
          <w:p>
            <w:pPr>
              <w:pStyle w:val="Compact"/>
            </w:pPr>
            <w:r>
              <w:t xml:space="preserve">Return</w:t>
            </w:r>
          </w:p>
        </w:tc>
        <w:tc>
          <w:tcPr/>
          <w:p>
            <w:pPr>
              <w:pStyle w:val="Compact"/>
            </w:pPr>
            <w:r>
              <w:t xml:space="preserve">5-day cumulative residual</w:t>
            </w:r>
          </w:p>
        </w:tc>
        <w:tc>
          <w:tcPr/>
          <w:p>
            <w:pPr>
              <w:pStyle w:val="Compact"/>
            </w:pPr>
            <w:r>
              <w:t xml:space="preserve">+0.1% (STABILIZE)</w:t>
            </w:r>
          </w:p>
        </w:tc>
        <w:tc>
          <w:tcPr/>
          <w:p>
            <w:pPr>
              <w:pStyle w:val="Compact"/>
            </w:pPr>
            <w:r>
              <w:t xml:space="preserve">A modest EPS beat with reaffirmed (not raised) 2026 guidance and an unresolved NC ROE/settlement overhang gives limited fuel for follow-through; Duke's low-beta, rider-heavy regulated model and already-priced-in data-center pipeline narrative mean the initial small positive residual is likely to decay toward flat over the week rather than extend, as analysts largely roll estimates within the existing guide band rather than revise out-year numbers materially.</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2026-08-04T01:08:23Z</dcterms:created>
  <dcterms:modified xsi:type="dcterms:W3CDTF">2026-08-04T01:08:23Z</dcterms:modified>
</cp:coreProperties>
</file>

<file path=docProps/custom.xml><?xml version="1.0" encoding="utf-8"?>
<Properties xmlns="http://schemas.openxmlformats.org/officeDocument/2006/custom-properties" xmlns:vt="http://schemas.openxmlformats.org/officeDocument/2006/docPropsVTypes"/>
</file>