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enough information now to write a comprehensive earnings preview. Let me do one more targeted search on the NC rate case settlement details since that's a key catalyst.# Duke Energy (DUK) Q2 2026 Earnings Preview</w:t>
      </w:r>
      <w:r>
        <w:t xml:space="preserve"> </w:t>
      </w:r>
      <w:r>
        <w:rPr>
          <w:b/>
          <w:bCs/>
        </w:rPr>
        <w:t xml:space="preserve">Report Date:</w:t>
      </w:r>
      <w:r>
        <w:t xml:space="preserve"> </w:t>
      </w:r>
      <w:r>
        <w:t xml:space="preserve">Tuesday, August 4, 2026, before market open |</w:t>
      </w:r>
      <w:r>
        <w:t xml:space="preserve"> </w:t>
      </w:r>
      <w:r>
        <w:rPr>
          <w:b/>
          <w:bCs/>
        </w:rPr>
        <w:t xml:space="preserve">Call:</w:t>
      </w:r>
      <w:r>
        <w:t xml:space="preserve"> </w:t>
      </w:r>
      <w:r>
        <w:t xml:space="preserve">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Duke Energy heads into its second-quarter print with shares trading around</w:t>
      </w:r>
      <w:r>
        <w:t xml:space="preserve"> </w:t>
      </w:r>
      <w:r>
        <w:rPr>
          <w:b/>
          <w:bCs/>
        </w:rPr>
        <w:t xml:space="preserve">$124-125</w:t>
      </w:r>
      <w:r>
        <w:t xml:space="preserve">, off recent July highs near</w:t>
      </w:r>
      <w:r>
        <w:t xml:space="preserve"> </w:t>
      </w:r>
      <w:r>
        <w:t xml:space="preserve">$130 but still up modestly year-to-date. Wall Street sentiment is a mix of "Moderate Buy/Hold," with price targets clustered in the **$</w:t>
      </w:r>
      <w:r>
        <w:t xml:space="preserve">134-$141** range following a string of recent moves — JPMorgan to $141, Goldman Sachs to Buy, Truist to $138, KeyCorp upgraded to Overweight — even as a few firms (Barclays, BMO) trimmed targets modestly on regulatory noise.</w:t>
      </w:r>
    </w:p>
    <w:p>
      <w:pPr>
        <w:pStyle w:val="BodyText"/>
      </w:pPr>
      <w:r>
        <w:t xml:space="preserve">Consensus expects</w:t>
      </w:r>
      <w:r>
        <w:t xml:space="preserve"> </w:t>
      </w:r>
      <w:r>
        <w:rPr>
          <w:b/>
          <w:bCs/>
        </w:rPr>
        <w:t xml:space="preserve">adjusted EPS of roughly</w:t>
      </w:r>
      <w:r>
        <w:rPr>
          <w:b/>
          <w:bCs/>
        </w:rPr>
        <w:t xml:space="preserve"> </w:t>
      </w:r>
      <m:oMath>
        <m:r>
          <m:t>1.29</m:t>
        </m:r>
        <m:r>
          <m:rPr>
            <m:sty m:val="p"/>
          </m:rPr>
          <m:t>−</m:t>
        </m:r>
      </m:oMath>
      <w:r>
        <w:rPr>
          <w:b/>
          <w:bCs/>
        </w:rPr>
        <w:t xml:space="preserve">1.30</w:t>
      </w:r>
      <w:r>
        <w:t xml:space="preserve"> </w:t>
      </w:r>
      <w:r>
        <w:t xml:space="preserve">(vs.</w:t>
      </w:r>
      <w:r>
        <w:t xml:space="preserve"> </w:t>
      </w:r>
      <m:oMath>
        <m:r>
          <m:t>1.25</m:t>
        </m:r>
        <m:r>
          <m:t>i</m:t>
        </m:r>
        <m:r>
          <m:t>n</m:t>
        </m:r>
        <m:r>
          <m:t>Q</m:t>
        </m:r>
        <m:r>
          <m:t>2</m:t>
        </m:r>
        <m:r>
          <m:t>2025</m:t>
        </m:r>
        <m:r>
          <m:rPr>
            <m:sty m:val="p"/>
          </m:rPr>
          <m:t>*</m:t>
        </m:r>
        <m:r>
          <m:rPr>
            <m:sty m:val="p"/>
          </m:rPr>
          <m:t>*</m:t>
        </m:r>
        <m:r>
          <m:rPr>
            <m:sty m:val="p"/>
          </m:rPr>
          <m:t>)</m:t>
        </m:r>
        <m:r>
          <m:t>o</m:t>
        </m:r>
        <m:r>
          <m:t>n</m:t>
        </m:r>
        <m:r>
          <m:t>r</m:t>
        </m:r>
        <m:r>
          <m:t>e</m:t>
        </m:r>
        <m:r>
          <m:t>v</m:t>
        </m:r>
        <m:r>
          <m:t>e</m:t>
        </m:r>
        <m:r>
          <m:t>n</m:t>
        </m:r>
        <m:r>
          <m:t>u</m:t>
        </m:r>
        <m:r>
          <m:t>e</m:t>
        </m:r>
        <m:r>
          <m:t>n</m:t>
        </m:r>
        <m:r>
          <m:t>e</m:t>
        </m:r>
        <m:r>
          <m:t>a</m:t>
        </m:r>
        <m:r>
          <m:t>r</m:t>
        </m:r>
        <m:r>
          <m:rPr>
            <m:sty m:val="p"/>
          </m:rPr>
          <m:t>*</m:t>
        </m:r>
        <m:r>
          <m:rPr>
            <m:sty m:val="p"/>
          </m:rPr>
          <m:t>*</m:t>
        </m:r>
      </m:oMath>
      <w:r>
        <w:rPr>
          <w:b/>
          <w:bCs/>
        </w:rPr>
        <w:t xml:space="preserve">7.7 billion</w:t>
      </w:r>
      <w:r>
        <w:t xml:space="preserve">. Duke has beaten estimates in three of the last four quarters, including a sizable beat last quarter.</w:t>
      </w:r>
    </w:p>
    <w:bookmarkEnd w:id="9"/>
    <w:bookmarkStart w:id="10" w:name="Xcac3d261148d8af0e65e298bc89a02c6d9a8911"/>
    <w:p>
      <w:pPr>
        <w:pStyle w:val="Heading2"/>
      </w:pPr>
      <w:r>
        <w:t xml:space="preserve">Q1 2026 Recap: Strong Start, Guidance Reaffirmed</w:t>
      </w:r>
    </w:p>
    <w:p>
      <w:pPr>
        <w:pStyle w:val="FirstParagraph"/>
      </w:pPr>
      <w:r>
        <w:t xml:space="preserve">Duke's first-quarter print set an upbeat tone that the market will be looking to see extended. The company announced first quarter 2026 adjusted earnings per share of $1.93, which builds on our momentum from last year and marks a strong start to the year, comparing to $1.76 in Q1 2025. Management reiterated that it is on track to achieve our 2026 guidance range of $6.55 to $6.80 and are reaffirming our 5% to 7% long-term EPS growth rate through 2030, adding it is more confident than ever that we will deliver in the top half of the range beginning in 2028 when we expect to see accelerated growth from the economic development projects secured under electric service agreements (ESAs). That guidance framework (2026 EPS of</w:t>
      </w:r>
      <w:r>
        <w:t xml:space="preserve"> </w:t>
      </w:r>
      <m:oMath>
        <m:r>
          <m:t>6.55</m:t>
        </m:r>
        <m:r>
          <m:rPr>
            <m:sty m:val="p"/>
          </m:rPr>
          <m:t>–</m:t>
        </m:r>
      </m:oMath>
      <w:r>
        <w:t xml:space="preserve">6.80, 5-7% CAGR through 2030) is the key anchor investors will want reaffirmed again this quarter.</w:t>
      </w:r>
    </w:p>
    <w:bookmarkEnd w:id="10"/>
    <w:bookmarkStart w:id="11" w:name="what-to-watch-in-q2"/>
    <w:p>
      <w:pPr>
        <w:pStyle w:val="Heading2"/>
      </w:pPr>
      <w:r>
        <w:t xml:space="preserve">What to Watch in Q2</w:t>
      </w:r>
    </w:p>
    <w:p>
      <w:pPr>
        <w:pStyle w:val="FirstParagraph"/>
      </w:pPr>
      <w:r>
        <w:rPr>
          <w:b/>
          <w:bCs/>
        </w:rPr>
        <w:t xml:space="preserve">1. Data center / large-load momentum.</w:t>
      </w:r>
      <w:r>
        <w:t xml:space="preserve"> </w:t>
      </w:r>
      <w:r>
        <w:t xml:space="preserve">This has been the single biggest growth catalyst in the stock's narrative. As of Q1, Duke had secured approximately 7.6 gigawatts of electric service agreements with data center customers, including an incremental 2.7 gigawatts since the fourth quarter call, with a late-stage high confidence pipeline now at 15.4 gigawatts, inclusive of the ESAs we've signed. Investors will watch for updated ESA totals, pipeline conversion, and commentary on ramp timing (management has guided that large loads expect these customers to begin taking energy as early as the second half of 2027 and into 2028 and ramp into their full contracted load through the early 2030s).</w:t>
      </w:r>
    </w:p>
    <w:p>
      <w:pPr>
        <w:pStyle w:val="BodyText"/>
      </w:pPr>
      <w:r>
        <w:rPr>
          <w:b/>
          <w:bCs/>
        </w:rPr>
        <w:t xml:space="preserve">2. North Carolina rate case — the key overhang.</w:t>
      </w:r>
      <w:r>
        <w:t xml:space="preserve"> </w:t>
      </w:r>
      <w:r>
        <w:t xml:space="preserve">In mid-July, Duke reached a</w:t>
      </w:r>
      <w:r>
        <w:t xml:space="preserve"> </w:t>
      </w:r>
      <w:r>
        <w:rPr>
          <w:b/>
          <w:bCs/>
        </w:rPr>
        <w:t xml:space="preserve">partial settlement</w:t>
      </w:r>
      <w:r>
        <w:t xml:space="preserve"> </w:t>
      </w:r>
      <w:r>
        <w:t xml:space="preserve">with North Carolina regulators, agreeing to cut its proposed rate hike well below its original ask. Per public reporting, the deal would raise Duke Energy has reached an agreement to cut its proposed residential rate increase request from around 18% to around 9.5% following public pushback and regulatory hearings, phased as roughly 5.9% in Year 1 and 3.6% in Year 2, with the utility also agreeing to contribute to low-income assistance programs. Notably, this remains a</w:t>
      </w:r>
      <w:r>
        <w:t xml:space="preserve"> </w:t>
      </w:r>
      <w:r>
        <w:rPr>
          <w:b/>
          <w:bCs/>
        </w:rPr>
        <w:t xml:space="preserve">partial</w:t>
      </w:r>
      <w:r>
        <w:t xml:space="preserve"> </w:t>
      </w:r>
      <w:r>
        <w:t xml:space="preserve">settlement — allowed ROE is still contested, with Duke seeking a materially higher return than the Public Staff and the state Attorney General have proposed, and NC's Governor and AG remain opposed and could challenge final approval. Watch for management's commentary on timing, the path to a full settlement/litigated outcome, and any offsetting "levers" (tax-credit flowback, storm cost securitization) used to soften the increase — Duke flagged on the Q1 call that its recent tax-credit monetization and Carolinas-merger savings could be used as tools to mitigate rate impacts.</w:t>
      </w:r>
    </w:p>
    <w:p>
      <w:pPr>
        <w:pStyle w:val="BodyText"/>
      </w:pPr>
      <w:r>
        <w:rPr>
          <w:b/>
          <w:bCs/>
        </w:rPr>
        <w:t xml:space="preserve">3. Balance sheet and financing.</w:t>
      </w:r>
      <w:r>
        <w:t xml:space="preserve"> </w:t>
      </w:r>
      <w:r>
        <w:t xml:space="preserve">Duke closed roughly $5.3 billion of proceeds this year from the Brookfield Florida minority-stake tranche and the Piedmont Tennessee LDC sale to Spire, which management says strengthen our credit profile and help cost effectively fund our $103 billion capital plan. The company is targeting</w:t>
      </w:r>
      <w:r>
        <w:t xml:space="preserve"> </w:t>
      </w:r>
      <w:r>
        <w:rPr>
          <w:b/>
          <w:bCs/>
        </w:rPr>
        <w:t xml:space="preserve">14.5% FFO-to-debt in 2026</w:t>
      </w:r>
      <w:r>
        <w:t xml:space="preserve"> </w:t>
      </w:r>
      <w:r>
        <w:t xml:space="preserve">and a</w:t>
      </w:r>
      <w:r>
        <w:t xml:space="preserve"> </w:t>
      </w:r>
      <w:r>
        <w:rPr>
          <w:b/>
          <w:bCs/>
        </w:rPr>
        <w:t xml:space="preserve">15% long-term target</w:t>
      </w:r>
      <w:r>
        <w:t xml:space="preserve">, and used convertible notes and modest forward ATM equity issuance in Q1 to manage funding costs. Expect updates on the pace of the $103B five-year capital plan, incremental equity needs, and any additional capital-recycling or minority-stake transactions.</w:t>
      </w:r>
    </w:p>
    <w:p>
      <w:pPr>
        <w:pStyle w:val="BodyText"/>
      </w:pPr>
      <w:r>
        <w:rPr>
          <w:b/>
          <w:bCs/>
        </w:rPr>
        <w:t xml:space="preserve">4. Regulatory/structural catalysts.</w:t>
      </w:r>
      <w:r>
        <w:t xml:space="preserve"> </w:t>
      </w:r>
      <w:r>
        <w:t xml:space="preserve">Duke has been securing constructive outcomes across its footprint: it received all regulatory approvals, including from FERC, North Carolina and South Carolina regulators for the proposed combination of our 2 Carolina utilities, targeting a</w:t>
      </w:r>
      <w:r>
        <w:t xml:space="preserve"> </w:t>
      </w:r>
      <w:r>
        <w:rPr>
          <w:b/>
          <w:bCs/>
        </w:rPr>
        <w:t xml:space="preserve">January 1, 2027</w:t>
      </w:r>
      <w:r>
        <w:t xml:space="preserve"> </w:t>
      </w:r>
      <w:r>
        <w:t xml:space="preserve">effective date and generating estimated customer savings of $2.3 billion through 2040. South Carolina's new rate-stabilization mechanism, Ohio's multiyear rate plan, and Indiana's CWIP rider for the Cayuga gas plant are all incremental credit- and cash-flow-positive developments worth tracking for updates.</w:t>
      </w:r>
    </w:p>
    <w:p>
      <w:pPr>
        <w:pStyle w:val="BodyText"/>
      </w:pPr>
      <w:r>
        <w:rPr>
          <w:b/>
          <w:bCs/>
        </w:rPr>
        <w:t xml:space="preserve">5. Generation buildout execution.</w:t>
      </w:r>
      <w:r>
        <w:t xml:space="preserve"> </w:t>
      </w:r>
      <w:r>
        <w:t xml:space="preserve">Duke continues to execute an "all-of-the-above" strategy, adding</w:t>
      </w:r>
      <w:r>
        <w:t xml:space="preserve"> </w:t>
      </w:r>
      <w:r>
        <w:rPr>
          <w:b/>
          <w:bCs/>
        </w:rPr>
        <w:t xml:space="preserve">14 GW of generation over five years</w:t>
      </w:r>
      <w:r>
        <w:t xml:space="preserve">, with 5 GW of gas under construction and 2.5 GW in development. The NRC's approval of the</w:t>
      </w:r>
      <w:r>
        <w:t xml:space="preserve"> </w:t>
      </w:r>
      <w:r>
        <w:rPr>
          <w:b/>
          <w:bCs/>
        </w:rPr>
        <w:t xml:space="preserve">Robinson nuclear plant's subsequent license renewal</w:t>
      </w:r>
      <w:r>
        <w:t xml:space="preserve"> </w:t>
      </w:r>
      <w:r>
        <w:t xml:space="preserve">in April marked the second Duke nuclear unit to secure life extension, and management has signaled intent to pursue similar extensions across its 11-reactor fleet — the largest regulated nuclear fleet in the country. Investors should listen for updates on EPC/turbine delivery timelines (first Person County turbines expected H2 2026) and any commentary on new nuclear (SMR/large reactor) partnerships given ongoing industry discussions around risk-sharing consortia.</w:t>
      </w:r>
    </w:p>
    <w:p>
      <w:pPr>
        <w:pStyle w:val="BodyText"/>
      </w:pPr>
      <w:r>
        <w:rPr>
          <w:b/>
          <w:bCs/>
        </w:rPr>
        <w:t xml:space="preserve">6. Dividend.</w:t>
      </w:r>
      <w:r>
        <w:t xml:space="preserve"> </w:t>
      </w:r>
      <w:r>
        <w:t xml:space="preserve">Duke recently marked its</w:t>
      </w:r>
      <w:r>
        <w:t xml:space="preserve"> </w:t>
      </w:r>
      <w:r>
        <w:rPr>
          <w:b/>
          <w:bCs/>
        </w:rPr>
        <w:t xml:space="preserve">100th consecutive year of paying a quarterly dividend</w:t>
      </w:r>
      <w:r>
        <w:t xml:space="preserve"> </w:t>
      </w:r>
      <w:r>
        <w:t xml:space="preserve">and raised the payout to</w:t>
      </w:r>
      <w:r>
        <w:t xml:space="preserve"> </w:t>
      </w:r>
      <w:r>
        <w:rPr>
          <w:b/>
          <w:bCs/>
        </w:rPr>
        <w:t xml:space="preserve">$1.085/share</w:t>
      </w:r>
      <w:r>
        <w:t xml:space="preserve">, continuing a policy of measured (~2%) annual dividend growth while the payout ratio (~65%) declines as EPS growth accelerates — a key part of the total-return thesis alongside the ~3.4% yield.</w:t>
      </w:r>
    </w:p>
    <w:bookmarkEnd w:id="11"/>
    <w:bookmarkStart w:id="12" w:name="key-numbers-to-track-on-the-print"/>
    <w:p>
      <w:pPr>
        <w:pStyle w:val="Heading2"/>
      </w:pPr>
      <w:r>
        <w:t xml:space="preserve">Key Numbers to Track on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 Actual</w:t>
            </w:r>
          </w:p>
        </w:tc>
        <w:tc>
          <w:tcPr/>
          <w:p>
            <w:pPr>
              <w:pStyle w:val="Compact"/>
            </w:pPr>
            <w:r>
              <w:t xml:space="preserve">Q2 2026 Consensus</w:t>
            </w:r>
          </w:p>
        </w:tc>
      </w:tr>
      <w:tr>
        <w:tc>
          <w:tcPr/>
          <w:p>
            <w:pPr>
              <w:pStyle w:val="Compact"/>
            </w:pPr>
            <w:r>
              <w:t xml:space="preserve">Adjusted EPS</w:t>
            </w:r>
          </w:p>
        </w:tc>
        <w:tc>
          <w:tcPr/>
          <w:p>
            <w:pPr>
              <w:pStyle w:val="Compact"/>
            </w:pPr>
            <w:r>
              <w:t xml:space="preserve">$1.25</w:t>
            </w:r>
          </w:p>
        </w:tc>
        <w:tc>
          <w:tcPr/>
          <w:p>
            <w:pPr>
              <w:pStyle w:val="Compact"/>
            </w:pPr>
            <w:r>
              <w:t xml:space="preserve">~</w:t>
            </w:r>
            <m:oMath>
              <m:r>
                <m:t>1.29</m:t>
              </m:r>
              <m:r>
                <m:rPr>
                  <m:sty m:val="p"/>
                </m:rPr>
                <m:t>–</m:t>
              </m:r>
            </m:oMath>
            <w:r>
              <w:t xml:space="preserve">1.30</w:t>
            </w:r>
          </w:p>
        </w:tc>
      </w:tr>
      <w:tr>
        <w:tc>
          <w:tcPr/>
          <w:p>
            <w:pPr>
              <w:pStyle w:val="Compact"/>
            </w:pPr>
            <w:r>
              <w:t xml:space="preserve">Revenue</w:t>
            </w:r>
          </w:p>
        </w:tc>
        <w:tc>
          <w:tcPr/>
          <w:p>
            <w:pPr>
              <w:pStyle w:val="Compact"/>
            </w:pPr>
            <w:r>
              <w:t xml:space="preserve">~$7.5B</w:t>
            </w:r>
          </w:p>
        </w:tc>
        <w:tc>
          <w:tcPr/>
          <w:p>
            <w:pPr>
              <w:pStyle w:val="Compact"/>
            </w:pPr>
            <w:r>
              <w:t xml:space="preserve">~</w:t>
            </w:r>
            <m:oMath>
              <m:r>
                <m:t>7.66</m:t>
              </m:r>
              <m:r>
                <m:rPr>
                  <m:sty m:val="p"/>
                </m:rPr>
                <m:t>–</m:t>
              </m:r>
            </m:oMath>
            <w:r>
              <w:t xml:space="preserve">7.71B</w:t>
            </w:r>
          </w:p>
        </w:tc>
      </w:tr>
      <w:tr>
        <w:tc>
          <w:tcPr/>
          <w:p>
            <w:pPr>
              <w:pStyle w:val="Compact"/>
            </w:pPr>
            <w:r>
              <w:t xml:space="preserve">2026 FY EPS guide</w:t>
            </w:r>
          </w:p>
        </w:tc>
        <w:tc>
          <w:tcPr/>
          <w:p>
            <w:pPr>
              <w:pStyle w:val="Compact"/>
            </w:pPr>
            <m:oMath>
              <m:r>
                <m:t>6.17</m:t>
              </m:r>
              <m:r>
                <m:rPr>
                  <m:sty m:val="p"/>
                </m:rPr>
                <m:t>–</m:t>
              </m:r>
            </m:oMath>
            <w:r>
              <w:t xml:space="preserve">6.42 (2025 guide)</w:t>
            </w:r>
          </w:p>
        </w:tc>
        <w:tc>
          <w:tcPr/>
          <w:p>
            <w:pPr>
              <w:pStyle w:val="Compact"/>
            </w:pPr>
            <m:oMath>
              <m:r>
                <m:t>6.55</m:t>
              </m:r>
              <m:r>
                <m:rPr>
                  <m:sty m:val="p"/>
                </m:rPr>
                <m:t>–</m:t>
              </m:r>
            </m:oMath>
            <w:r>
              <w:t xml:space="preserve">6.80 (reaffirmed)</w:t>
            </w:r>
          </w:p>
        </w:tc>
      </w:tr>
      <w:tr>
        <w:tc>
          <w:tcPr/>
          <w:p>
            <w:pPr>
              <w:pStyle w:val="Compact"/>
            </w:pPr>
            <w:r>
              <w:t xml:space="preserve">FFO/Debt target</w:t>
            </w:r>
          </w:p>
        </w:tc>
        <w:tc>
          <w:tcPr/>
          <w:p>
            <w:pPr>
              <w:pStyle w:val="Compact"/>
            </w:pPr>
            <w:r>
              <w:t xml:space="preserve">15% long-term</w:t>
            </w:r>
          </w:p>
        </w:tc>
        <w:tc>
          <w:tcPr/>
          <w:p>
            <w:pPr>
              <w:pStyle w:val="Compact"/>
            </w:pPr>
            <w:r>
              <w:t xml:space="preserve">14.5% (2026), 15% long-term</w:t>
            </w:r>
          </w:p>
        </w:tc>
      </w:tr>
    </w:tbl>
    <w:bookmarkEnd w:id="12"/>
    <w:bookmarkStart w:id="13" w:name="bottom-line"/>
    <w:p>
      <w:pPr>
        <w:pStyle w:val="Heading2"/>
      </w:pPr>
      <w:r>
        <w:t xml:space="preserve">Bottom Line</w:t>
      </w:r>
    </w:p>
    <w:p>
      <w:pPr>
        <w:pStyle w:val="FirstParagraph"/>
      </w:pPr>
      <w:r>
        <w:t xml:space="preserve">Going into Tuesday's report, the debate isn't really about whether Duke can deliver near-term numbers — the company has a strong beat record and a highly de-risked regulated/rider-based earnings model. The more important storylines are</w:t>
      </w:r>
      <w:r>
        <w:t xml:space="preserve"> </w:t>
      </w:r>
      <w:r>
        <w:rPr>
          <w:b/>
          <w:bCs/>
        </w:rPr>
        <w:t xml:space="preserve">(1)</w:t>
      </w:r>
      <w:r>
        <w:t xml:space="preserve"> </w:t>
      </w:r>
      <w:r>
        <w:t xml:space="preserve">whether management can show continued acceleration in data-center ESA signings and pipeline conversion that underpins the "top-half-of-range" 2028+ growth thesis, and</w:t>
      </w:r>
      <w:r>
        <w:t xml:space="preserve"> </w:t>
      </w:r>
      <w:r>
        <w:rPr>
          <w:b/>
          <w:bCs/>
        </w:rPr>
        <w:t xml:space="preserve">(2)</w:t>
      </w:r>
      <w:r>
        <w:t xml:space="preserve"> </w:t>
      </w:r>
      <w:r>
        <w:t xml:space="preserve">how it frames the NC rate case settlement and lingering political/regulatory pushback on affordability — an issue that could resurface in South Carolina, Florida, and other jurisdictions as large-load tariff dockets proceed. Balance-sheet execution (FFO/debt trajectory, equity needs) and capital-plan updates alongside the $103B five-year plan round out what investors should focus on beyond the headline EPS beat/miss.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2026-08-04T01:08:23Z</dcterms:created>
  <dcterms:modified xsi:type="dcterms:W3CDTF">2026-08-04T01:08:23Z</dcterms:modified>
</cp:coreProperties>
</file>

<file path=docProps/custom.xml><?xml version="1.0" encoding="utf-8"?>
<Properties xmlns="http://schemas.openxmlformats.org/officeDocument/2006/custom-properties" xmlns:vt="http://schemas.openxmlformats.org/officeDocument/2006/docPropsVTypes"/>
</file>