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d153bada06b6172dacd84c8fd62b3d1981dfbe"/>
    <w:p>
      <w:pPr>
        <w:pStyle w:val="Heading1"/>
      </w:pPr>
      <w:r>
        <w:t xml:space="preserve">Duke Energy (NYSE: DUK) — 2026Q2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August 4, 2026 is today, not tomorrow. Duke Energy’s official schedule calls for results at</w:t>
      </w:r>
      <w:r>
        <w:t xml:space="preserve"> </w:t>
      </w:r>
      <w:r>
        <w:rPr>
          <w:b/>
          <w:bCs/>
        </w:rPr>
        <w:t xml:space="preserve">7:00 a.m. ET on Tuesday, August 4</w:t>
      </w:r>
      <w:r>
        <w:t xml:space="preserve">, followed by the earnings call at</w:t>
      </w:r>
      <w:r>
        <w:t xml:space="preserve"> </w:t>
      </w:r>
      <w:r>
        <w:rPr>
          <w:b/>
          <w:bCs/>
        </w:rPr>
        <w:t xml:space="preserve">10:00 a.m. ET</w:t>
      </w:r>
      <w:r>
        <w:t xml:space="preserve">. This preview assumes the release has not yet been published. (</w:t>
      </w:r>
      <w:hyperlink r:id="rId9">
        <w:r>
          <w:rPr>
            <w:rStyle w:val="Hyperlink"/>
          </w:rPr>
          <w:t xml:space="preserve">news.duke-energy.com</w:t>
        </w:r>
      </w:hyperlink>
      <w:r>
        <w:t xml:space="preserve">)</w:t>
      </w:r>
    </w:p>
    <w:bookmarkStart w:id="12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The central question going into Q2 is not whether Duke beats a quarterly EPS estimate by a few cents. It is whether management can further de-risk a very large capital program while preserving customer affordability, regulatory support and balance-sheet strength.</w:t>
      </w:r>
    </w:p>
    <w:p>
      <w:pPr>
        <w:pStyle w:val="BodyText"/>
      </w:pPr>
      <w:r>
        <w:t xml:space="preserve">Duke entered the quarter with: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2026 adjusted EPS guidance of</w:t>
      </w:r>
      <w:r>
        <w:rPr>
          <w:b/>
          <w:bCs/>
        </w:rPr>
        <w:t xml:space="preserve"> </w:t>
      </w:r>
      <m:oMath>
        <m:r>
          <m:t>6.55</m:t>
        </m:r>
        <m:r>
          <m:rPr>
            <m:sty m:val="p"/>
          </m:rPr>
          <m:t>−</m:t>
        </m:r>
      </m:oMath>
      <w:r>
        <w:rPr>
          <w:b/>
          <w:bCs/>
        </w:rPr>
        <w:t xml:space="preserve">6.80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5%-7% long-term EPS growth target through 2030</w:t>
      </w:r>
    </w:p>
    <w:p>
      <w:pPr>
        <w:pStyle w:val="Compact"/>
        <w:numPr>
          <w:ilvl w:val="0"/>
          <w:numId w:val="1001"/>
        </w:numPr>
      </w:pPr>
      <w:r>
        <w:t xml:space="preserve">Confidence that growth can move into the</w:t>
      </w:r>
      <w:r>
        <w:t xml:space="preserve"> </w:t>
      </w:r>
      <w:r>
        <w:rPr>
          <w:b/>
          <w:bCs/>
        </w:rPr>
        <w:t xml:space="preserve">top half of that range beginning in 2028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$103 billion 2026-2030 capital plan</w:t>
      </w:r>
    </w:p>
    <w:p>
      <w:pPr>
        <w:pStyle w:val="Compact"/>
        <w:numPr>
          <w:ilvl w:val="0"/>
          <w:numId w:val="1001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14 GW of planned generation additions by 2031</w:t>
      </w:r>
      <w:r>
        <w:t xml:space="preserve"> </w:t>
      </w:r>
      <w:r>
        <w:t xml:space="preserve">(</w:t>
      </w:r>
      <w:hyperlink r:id="rId10">
        <w:r>
          <w:rPr>
            <w:rStyle w:val="Hyperlink"/>
          </w:rPr>
          <w:t xml:space="preserve">s201.q4cdn.com</w:t>
        </w:r>
      </w:hyperlink>
      <w:r>
        <w:t xml:space="preserve">)</w:t>
      </w:r>
    </w:p>
    <w:p>
      <w:pPr>
        <w:pStyle w:val="FirstParagraph"/>
      </w:pPr>
      <w:r>
        <w:t xml:space="preserve">My base case is a</w:t>
      </w:r>
      <w:r>
        <w:t xml:space="preserve"> </w:t>
      </w:r>
      <w:r>
        <w:rPr>
          <w:b/>
          <w:bCs/>
        </w:rPr>
        <w:t xml:space="preserve">guidance reaffirmation</w:t>
      </w:r>
      <w:r>
        <w:t xml:space="preserve">, rather than a raise. A simple reaffirmation should be sufficient if it is accompanied by improving regulatory visibility, intact cost assumptions and continued progress converting data-center demand into contracted load.</w:t>
      </w:r>
    </w:p>
    <w:p>
      <w:pPr>
        <w:pStyle w:val="BodyText"/>
      </w:pPr>
      <w:r>
        <w:t xml:space="preserve">For context, Duke reported</w:t>
      </w:r>
      <w:r>
        <w:t xml:space="preserve"> </w:t>
      </w:r>
      <w:r>
        <w:rPr>
          <w:b/>
          <w:bCs/>
        </w:rPr>
        <w:t xml:space="preserve">$1.25 of adjusted EPS in 2025Q2</w:t>
      </w:r>
      <w:r>
        <w:t xml:space="preserve">, with new rates and riders offset partly by higher O&amp;M and interest expense. That is the cleanest year-over-year quarterly benchmark. (</w:t>
      </w:r>
      <w:hyperlink r:id="rId11">
        <w:r>
          <w:rPr>
            <w:rStyle w:val="Hyperlink"/>
          </w:rPr>
          <w:t xml:space="preserve">sec.gov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2"/>
    <w:bookmarkStart w:id="21" w:name="what-matters-most"/>
    <w:p>
      <w:pPr>
        <w:pStyle w:val="Heading2"/>
      </w:pPr>
      <w:r>
        <w:t xml:space="preserve">What matters most</w:t>
      </w:r>
    </w:p>
    <w:bookmarkStart w:id="13" w:name="X35de75417894aaa1b4730238d27ad95997c3079"/>
    <w:p>
      <w:pPr>
        <w:pStyle w:val="Heading3"/>
      </w:pPr>
      <w:r>
        <w:t xml:space="preserve">1. Full-year guidance and the O&amp;M trajectory</w:t>
      </w:r>
    </w:p>
    <w:p>
      <w:pPr>
        <w:pStyle w:val="FirstParagraph"/>
      </w:pPr>
      <w:r>
        <w:t xml:space="preserve">First-quarter adjusted EPS was</w:t>
      </w:r>
      <w:r>
        <w:t xml:space="preserve"> </w:t>
      </w:r>
      <w:r>
        <w:rPr>
          <w:b/>
          <w:bCs/>
        </w:rPr>
        <w:t xml:space="preserve">$1.93</w:t>
      </w:r>
      <w:r>
        <w:t xml:space="preserve">, up from $1.76 a year earlier. Rate recovery, customer volumes and favorable weather contributed to growth, while storm-response costs, other O&amp;M and depreciation were offsets. (</w:t>
      </w:r>
      <w:hyperlink r:id="rId10">
        <w:r>
          <w:rPr>
            <w:rStyle w:val="Hyperlink"/>
          </w:rPr>
          <w:t xml:space="preserve">s201.q4cdn.com</w:t>
        </w:r>
      </w:hyperlink>
      <w:r>
        <w:t xml:space="preserve">)</w:t>
      </w:r>
    </w:p>
    <w:p>
      <w:pPr>
        <w:pStyle w:val="BodyText"/>
      </w:pPr>
      <w:r>
        <w:t xml:space="preserve">The key Q2 question is whether management still expects full-year cost performance to offset the elevated spending seen in Q1. Investors should listen for:</w:t>
      </w:r>
    </w:p>
    <w:p>
      <w:pPr>
        <w:pStyle w:val="Compact"/>
        <w:numPr>
          <w:ilvl w:val="0"/>
          <w:numId w:val="1002"/>
        </w:numPr>
      </w:pPr>
      <w:r>
        <w:t xml:space="preserve">Whether full-year O&amp;M expectations remain intact</w:t>
      </w:r>
    </w:p>
    <w:p>
      <w:pPr>
        <w:pStyle w:val="Compact"/>
        <w:numPr>
          <w:ilvl w:val="0"/>
          <w:numId w:val="1002"/>
        </w:numPr>
      </w:pPr>
      <w:r>
        <w:t xml:space="preserve">Whether Q1 storm and outage costs were primarily timing-related</w:t>
      </w:r>
    </w:p>
    <w:p>
      <w:pPr>
        <w:pStyle w:val="Compact"/>
        <w:numPr>
          <w:ilvl w:val="0"/>
          <w:numId w:val="1002"/>
        </w:numPr>
      </w:pPr>
      <w:r>
        <w:t xml:space="preserve">Any increase in generation maintenance, grid work or labor costs</w:t>
      </w:r>
    </w:p>
    <w:p>
      <w:pPr>
        <w:pStyle w:val="Compact"/>
        <w:numPr>
          <w:ilvl w:val="0"/>
          <w:numId w:val="1002"/>
        </w:numPr>
      </w:pPr>
      <w:r>
        <w:t xml:space="preserve">Whether higher depreciation and interest expense are running within plan</w:t>
      </w:r>
    </w:p>
    <w:p>
      <w:pPr>
        <w:pStyle w:val="Compact"/>
        <w:numPr>
          <w:ilvl w:val="0"/>
          <w:numId w:val="1002"/>
        </w:numPr>
      </w:pPr>
      <w:r>
        <w:t xml:space="preserve">Whether management is tracking toward the midpoint or upper half of guidance</w:t>
      </w:r>
    </w:p>
    <w:p>
      <w:pPr>
        <w:pStyle w:val="FirstParagraph"/>
      </w:pPr>
      <w:r>
        <w:rPr>
          <w:b/>
          <w:bCs/>
        </w:rPr>
        <w:t xml:space="preserve">Positive:</w:t>
      </w:r>
      <w:r>
        <w:t xml:space="preserve"> </w:t>
      </w:r>
      <w:r>
        <w:t xml:space="preserve">Guidance is reaffirmed with improving cost visibility and no new financing pressure.</w:t>
      </w:r>
    </w:p>
    <w:p>
      <w:pPr>
        <w:pStyle w:val="BodyText"/>
      </w:pPr>
      <w:r>
        <w:rPr>
          <w:b/>
          <w:bCs/>
        </w:rPr>
        <w:t xml:space="preserve">Negative:</w:t>
      </w:r>
      <w:r>
        <w:t xml:space="preserve"> </w:t>
      </w:r>
      <w:r>
        <w:t xml:space="preserve">Management emphasizes cost headwinds, weather dependence or a result concentrated near the bottom of the annual range.</w:t>
      </w:r>
    </w:p>
    <w:p>
      <w:r>
        <w:pict>
          <v:rect style="width:0;height:1.5pt" o:hralign="center" o:hrstd="t" o:hr="t"/>
        </w:pict>
      </w:r>
    </w:p>
    <w:bookmarkEnd w:id="13"/>
    <w:bookmarkStart w:id="15" w:name="X846045c901fde5650b548502efbb05f05f225f3"/>
    <w:p>
      <w:pPr>
        <w:pStyle w:val="Heading3"/>
      </w:pPr>
      <w:r>
        <w:t xml:space="preserve">2. North Carolina regulation: constructive, but at lower economics</w:t>
      </w:r>
    </w:p>
    <w:p>
      <w:pPr>
        <w:pStyle w:val="FirstParagraph"/>
      </w:pPr>
      <w:r>
        <w:t xml:space="preserve">The July 17 Duke Energy Carolinas settlement is the most important development since Q1. Its principal terms include: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9.8% allowed ROE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53% equity ratio</w:t>
      </w:r>
    </w:p>
    <w:p>
      <w:pPr>
        <w:pStyle w:val="Compact"/>
        <w:numPr>
          <w:ilvl w:val="0"/>
          <w:numId w:val="1003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$25.7 billion of historic retail rate base</w:t>
      </w:r>
    </w:p>
    <w:p>
      <w:pPr>
        <w:pStyle w:val="Compact"/>
        <w:numPr>
          <w:ilvl w:val="0"/>
          <w:numId w:val="1003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$3.8 billion of capital</w:t>
      </w:r>
      <w:r>
        <w:t xml:space="preserve"> </w:t>
      </w:r>
      <w:r>
        <w:t xml:space="preserve">in the two-year multi-year rate plan</w:t>
      </w:r>
    </w:p>
    <w:p>
      <w:pPr>
        <w:pStyle w:val="Compact"/>
        <w:numPr>
          <w:ilvl w:val="0"/>
          <w:numId w:val="1003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$496 million</w:t>
      </w:r>
      <w:r>
        <w:t xml:space="preserve"> </w:t>
      </w:r>
      <w:r>
        <w:t xml:space="preserve">two-year revenue increase, versus the original $1.002 billion request</w:t>
      </w:r>
    </w:p>
    <w:p>
      <w:pPr>
        <w:pStyle w:val="Compact"/>
        <w:numPr>
          <w:ilvl w:val="0"/>
          <w:numId w:val="1003"/>
        </w:numPr>
      </w:pPr>
      <w:r>
        <w:t xml:space="preserve">An annual refund mechanism if approved projects are not placed in service as planned</w:t>
      </w:r>
    </w:p>
    <w:p>
      <w:pPr>
        <w:pStyle w:val="Compact"/>
        <w:numPr>
          <w:ilvl w:val="0"/>
          <w:numId w:val="1003"/>
        </w:numPr>
      </w:pPr>
      <w:r>
        <w:t xml:space="preserve">A roughly</w:t>
      </w:r>
      <w:r>
        <w:t xml:space="preserve"> </w:t>
      </w:r>
      <w:r>
        <w:rPr>
          <w:b/>
          <w:bCs/>
        </w:rPr>
        <w:t xml:space="preserve">$40 million pretax special-item charge</w:t>
      </w:r>
      <w:r>
        <w:t xml:space="preserve"> </w:t>
      </w:r>
      <w:r>
        <w:t xml:space="preserve">in 2026</w:t>
      </w:r>
    </w:p>
    <w:p>
      <w:pPr>
        <w:pStyle w:val="Compact"/>
        <w:numPr>
          <w:ilvl w:val="0"/>
          <w:numId w:val="1003"/>
        </w:numPr>
      </w:pPr>
      <w:r>
        <w:t xml:space="preserve">Good-faith discussions toward a similar settlement framework for Duke Energy Progress</w:t>
      </w:r>
    </w:p>
    <w:p>
      <w:pPr>
        <w:pStyle w:val="FirstParagraph"/>
      </w:pPr>
      <w:r>
        <w:t xml:space="preserve">The agreement remains subject to North Carolina Utilities Commission approval. (</w:t>
      </w:r>
      <w:hyperlink r:id="rId14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The settlement is mixed but broadly constructive. The ROE and revenue requirement are below Duke’s original request, but the agreement materially reduces regulatory uncertainty and preserves recovery for a substantial capital program. The lower bill impact also improves the political durability of Duke’s investment strategy.</w:t>
      </w:r>
    </w:p>
    <w:p>
      <w:pPr>
        <w:pStyle w:val="BodyText"/>
      </w:pPr>
      <w:r>
        <w:t xml:space="preserve">The earnings call should clarify:</w:t>
      </w:r>
    </w:p>
    <w:p>
      <w:pPr>
        <w:pStyle w:val="Compact"/>
        <w:numPr>
          <w:ilvl w:val="0"/>
          <w:numId w:val="1004"/>
        </w:numPr>
      </w:pPr>
      <w:r>
        <w:t xml:space="preserve">Whether the settlement is fully reflected in existing EPS guidance</w:t>
      </w:r>
    </w:p>
    <w:p>
      <w:pPr>
        <w:pStyle w:val="Compact"/>
        <w:numPr>
          <w:ilvl w:val="0"/>
          <w:numId w:val="1004"/>
        </w:numPr>
      </w:pPr>
      <w:r>
        <w:t xml:space="preserve">Whether the expected $40 million charge will be excluded from adjusted earnings</w:t>
      </w:r>
    </w:p>
    <w:p>
      <w:pPr>
        <w:pStyle w:val="Compact"/>
        <w:numPr>
          <w:ilvl w:val="0"/>
          <w:numId w:val="1004"/>
        </w:numPr>
      </w:pPr>
      <w:r>
        <w:t xml:space="preserve">Whether Duke Energy Progress can reach a comparable agreement</w:t>
      </w:r>
    </w:p>
    <w:p>
      <w:pPr>
        <w:pStyle w:val="Compact"/>
        <w:numPr>
          <w:ilvl w:val="0"/>
          <w:numId w:val="1004"/>
        </w:numPr>
      </w:pPr>
      <w:r>
        <w:t xml:space="preserve">Whether the allowed capital and recovery mechanisms remain adequate for the generation build</w:t>
      </w:r>
    </w:p>
    <w:p>
      <w:pPr>
        <w:pStyle w:val="Compact"/>
        <w:numPr>
          <w:ilvl w:val="0"/>
          <w:numId w:val="1004"/>
        </w:numPr>
      </w:pPr>
      <w:r>
        <w:t xml:space="preserve">How the proposed large-load tariff will protect existing customers</w:t>
      </w:r>
    </w:p>
    <w:p>
      <w:pPr>
        <w:pStyle w:val="FirstParagraph"/>
      </w:pPr>
      <w:r>
        <w:t xml:space="preserve">A similar Duke Energy Progress settlement would probably be a more meaningful stock catalyst than a modest Q2 EPS beat.</w:t>
      </w:r>
    </w:p>
    <w:p>
      <w:r>
        <w:pict>
          <v:rect style="width:0;height:1.5pt" o:hralign="center" o:hrstd="t" o:hr="t"/>
        </w:pict>
      </w:r>
    </w:p>
    <w:bookmarkEnd w:id="15"/>
    <w:bookmarkStart w:id="16" w:name="X59e5270d95bbe3648b4c9d68462f57ad0504fba"/>
    <w:p>
      <w:pPr>
        <w:pStyle w:val="Heading3"/>
      </w:pPr>
      <w:r>
        <w:t xml:space="preserve">3. Data centers: look for proof, not a larger headline pipeline</w:t>
      </w:r>
    </w:p>
    <w:p>
      <w:pPr>
        <w:pStyle w:val="FirstParagraph"/>
      </w:pPr>
      <w:r>
        <w:t xml:space="preserve">At Q1, Duke had:</w:t>
      </w:r>
    </w:p>
    <w:p>
      <w:pPr>
        <w:pStyle w:val="Compact"/>
        <w:numPr>
          <w:ilvl w:val="0"/>
          <w:numId w:val="1005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7.6 GW of signed data-center Electric Service Agreements</w:t>
      </w:r>
    </w:p>
    <w:p>
      <w:pPr>
        <w:pStyle w:val="Compact"/>
        <w:numPr>
          <w:ilvl w:val="0"/>
          <w:numId w:val="1005"/>
        </w:numPr>
      </w:pPr>
      <w:r>
        <w:t xml:space="preserve">Around</w:t>
      </w:r>
      <w:r>
        <w:t xml:space="preserve"> </w:t>
      </w:r>
      <w:r>
        <w:rPr>
          <w:b/>
          <w:bCs/>
        </w:rPr>
        <w:t xml:space="preserve">5 GW already under construction</w:t>
      </w:r>
    </w:p>
    <w:p>
      <w:pPr>
        <w:pStyle w:val="Compact"/>
        <w:numPr>
          <w:ilvl w:val="0"/>
          <w:numId w:val="1005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15.4 GW high-confidence, late-stage pipeline</w:t>
      </w:r>
    </w:p>
    <w:p>
      <w:pPr>
        <w:pStyle w:val="Compact"/>
        <w:numPr>
          <w:ilvl w:val="0"/>
          <w:numId w:val="1005"/>
        </w:numPr>
      </w:pPr>
      <w:r>
        <w:t xml:space="preserve">Contract provisions designed to make large-load customers bear their share of system costs (</w:t>
      </w:r>
      <w:hyperlink r:id="rId10">
        <w:r>
          <w:rPr>
            <w:rStyle w:val="Hyperlink"/>
          </w:rPr>
          <w:t xml:space="preserve">s201.q4cdn.com</w:t>
        </w:r>
      </w:hyperlink>
      <w:r>
        <w:t xml:space="preserve">)</w:t>
      </w:r>
    </w:p>
    <w:p>
      <w:pPr>
        <w:pStyle w:val="FirstParagraph"/>
      </w:pPr>
      <w:r>
        <w:t xml:space="preserve">The important distinction is that signed demand is not yet the same as earnings. Management previously indicated that the first meaningful load should begin arriving in the</w:t>
      </w:r>
      <w:r>
        <w:t xml:space="preserve"> </w:t>
      </w:r>
      <w:r>
        <w:rPr>
          <w:b/>
          <w:bCs/>
        </w:rPr>
        <w:t xml:space="preserve">second half of 2027</w:t>
      </w:r>
      <w:r>
        <w:t xml:space="preserve">, with acceleration in 2028 and further ramping into the early 2030s.</w:t>
      </w:r>
    </w:p>
    <w:p>
      <w:pPr>
        <w:pStyle w:val="BodyText"/>
      </w:pPr>
      <w:r>
        <w:t xml:space="preserve">Investors should focus on:</w:t>
      </w:r>
    </w:p>
    <w:p>
      <w:pPr>
        <w:pStyle w:val="Compact"/>
        <w:numPr>
          <w:ilvl w:val="0"/>
          <w:numId w:val="1006"/>
        </w:numPr>
      </w:pPr>
      <w:r>
        <w:t xml:space="preserve">Additional ESAs signed since May</w:t>
      </w:r>
    </w:p>
    <w:p>
      <w:pPr>
        <w:pStyle w:val="Compact"/>
        <w:numPr>
          <w:ilvl w:val="0"/>
          <w:numId w:val="1006"/>
        </w:numPr>
      </w:pPr>
      <w:r>
        <w:t xml:space="preserve">Changes in the 15.4 GW late-stage pipeline</w:t>
      </w:r>
    </w:p>
    <w:p>
      <w:pPr>
        <w:pStyle w:val="Compact"/>
        <w:numPr>
          <w:ilvl w:val="0"/>
          <w:numId w:val="1006"/>
        </w:numPr>
      </w:pPr>
      <w:r>
        <w:t xml:space="preserve">Construction starts and evidence projects are meeting milestones</w:t>
      </w:r>
    </w:p>
    <w:p>
      <w:pPr>
        <w:pStyle w:val="Compact"/>
        <w:numPr>
          <w:ilvl w:val="0"/>
          <w:numId w:val="1006"/>
        </w:numPr>
      </w:pPr>
      <w:r>
        <w:t xml:space="preserve">Initial energization dates and contracted ramp schedules</w:t>
      </w:r>
    </w:p>
    <w:p>
      <w:pPr>
        <w:pStyle w:val="Compact"/>
        <w:numPr>
          <w:ilvl w:val="0"/>
          <w:numId w:val="1006"/>
        </w:numPr>
      </w:pPr>
      <w:r>
        <w:t xml:space="preserve">Minimum-demand, termination-payment and credit-support provisions</w:t>
      </w:r>
    </w:p>
    <w:p>
      <w:pPr>
        <w:pStyle w:val="Compact"/>
        <w:numPr>
          <w:ilvl w:val="0"/>
          <w:numId w:val="1006"/>
        </w:numPr>
      </w:pPr>
      <w:r>
        <w:t xml:space="preserve">The status of large-load tariffs in North Carolina, South Carolina and other jurisdictions</w:t>
      </w:r>
    </w:p>
    <w:p>
      <w:pPr>
        <w:pStyle w:val="Compact"/>
        <w:numPr>
          <w:ilvl w:val="0"/>
          <w:numId w:val="1006"/>
        </w:numPr>
      </w:pPr>
      <w:r>
        <w:t xml:space="preserve">Whether infrastructure requirements could raise the capital plan beyond $103 billion</w:t>
      </w:r>
    </w:p>
    <w:p>
      <w:pPr>
        <w:pStyle w:val="FirstParagraph"/>
      </w:pPr>
      <w:r>
        <w:t xml:space="preserve">A pipeline increase is encouraging, but</w:t>
      </w:r>
      <w:r>
        <w:t xml:space="preserve"> </w:t>
      </w:r>
      <w:r>
        <w:rPr>
          <w:b/>
          <w:bCs/>
        </w:rPr>
        <w:t xml:space="preserve">on-time energization of the existing 7.6 GW is more valuable than another large, less-certain prospect figure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6"/>
    <w:bookmarkStart w:id="17" w:name="Xc50045fcfa56ea43a08e4b53654583f698965e6"/>
    <w:p>
      <w:pPr>
        <w:pStyle w:val="Heading3"/>
      </w:pPr>
      <w:r>
        <w:t xml:space="preserve">4. Capital-project execution</w:t>
      </w:r>
    </w:p>
    <w:p>
      <w:pPr>
        <w:pStyle w:val="FirstParagraph"/>
      </w:pPr>
      <w:r>
        <w:t xml:space="preserve">Duke’s plan calls for approximately 14 GW of new capacity, including a major gas-generation build. At Q1, roughly 5 GW of gas generation was under construction, with turbines secured under the GE Vernova agreement and EPC contracts in place for the first group of projects. (</w:t>
      </w:r>
      <w:hyperlink r:id="rId10">
        <w:r>
          <w:rPr>
            <w:rStyle w:val="Hyperlink"/>
          </w:rPr>
          <w:t xml:space="preserve">s201.q4cdn.com</w:t>
        </w:r>
      </w:hyperlink>
      <w:r>
        <w:t xml:space="preserve">)</w:t>
      </w:r>
    </w:p>
    <w:p>
      <w:pPr>
        <w:pStyle w:val="BodyText"/>
      </w:pPr>
      <w:r>
        <w:t xml:space="preserve">The report should update:</w:t>
      </w:r>
    </w:p>
    <w:p>
      <w:pPr>
        <w:pStyle w:val="Compact"/>
        <w:numPr>
          <w:ilvl w:val="0"/>
          <w:numId w:val="1007"/>
        </w:numPr>
      </w:pPr>
      <w:r>
        <w:t xml:space="preserve">Person County turbine delivery and construction timing</w:t>
      </w:r>
    </w:p>
    <w:p>
      <w:pPr>
        <w:pStyle w:val="Compact"/>
        <w:numPr>
          <w:ilvl w:val="0"/>
          <w:numId w:val="1007"/>
        </w:numPr>
      </w:pPr>
      <w:r>
        <w:t xml:space="preserve">Marshall combustion turbines</w:t>
      </w:r>
    </w:p>
    <w:p>
      <w:pPr>
        <w:pStyle w:val="Compact"/>
        <w:numPr>
          <w:ilvl w:val="0"/>
          <w:numId w:val="1007"/>
        </w:numPr>
      </w:pPr>
      <w:r>
        <w:t xml:space="preserve">Anderson County combined-cycle development</w:t>
      </w:r>
    </w:p>
    <w:p>
      <w:pPr>
        <w:pStyle w:val="Compact"/>
        <w:numPr>
          <w:ilvl w:val="0"/>
          <w:numId w:val="1007"/>
        </w:numPr>
      </w:pPr>
      <w:r>
        <w:t xml:space="preserve">Cayuga construction and Indiana cost recovery</w:t>
      </w:r>
    </w:p>
    <w:p>
      <w:pPr>
        <w:pStyle w:val="Compact"/>
        <w:numPr>
          <w:ilvl w:val="0"/>
          <w:numId w:val="1007"/>
        </w:numPr>
      </w:pPr>
      <w:r>
        <w:t xml:space="preserve">Nuclear uprates and subsequent license renewals</w:t>
      </w:r>
    </w:p>
    <w:p>
      <w:pPr>
        <w:pStyle w:val="Compact"/>
        <w:numPr>
          <w:ilvl w:val="0"/>
          <w:numId w:val="1007"/>
        </w:numPr>
      </w:pPr>
      <w:r>
        <w:t xml:space="preserve">Labor availability and EPC cost inflation</w:t>
      </w:r>
    </w:p>
    <w:p>
      <w:pPr>
        <w:pStyle w:val="Compact"/>
        <w:numPr>
          <w:ilvl w:val="0"/>
          <w:numId w:val="1007"/>
        </w:numPr>
      </w:pPr>
      <w:r>
        <w:t xml:space="preserve">Tariff and supply-chain effects on equipment pricing</w:t>
      </w:r>
    </w:p>
    <w:p>
      <w:pPr>
        <w:pStyle w:val="Compact"/>
        <w:numPr>
          <w:ilvl w:val="0"/>
          <w:numId w:val="1007"/>
        </w:numPr>
      </w:pPr>
      <w:r>
        <w:t xml:space="preserve">Whether the $103 billion capital budget still includes sufficient contingencies</w:t>
      </w:r>
    </w:p>
    <w:p>
      <w:pPr>
        <w:pStyle w:val="FirstParagraph"/>
      </w:pPr>
      <w:r>
        <w:t xml:space="preserve">The biggest long-term risk is not demand—it is executing an unusually large build program without material delays, cost overruns or adverse regulatory lag.</w:t>
      </w:r>
    </w:p>
    <w:p>
      <w:r>
        <w:pict>
          <v:rect style="width:0;height:1.5pt" o:hralign="center" o:hrstd="t" o:hr="t"/>
        </w:pict>
      </w:r>
    </w:p>
    <w:bookmarkEnd w:id="17"/>
    <w:bookmarkStart w:id="18" w:name="X9a53b03c3ae0cbcb1f17c3b838bccca0d5ec1ec"/>
    <w:p>
      <w:pPr>
        <w:pStyle w:val="Heading3"/>
      </w:pPr>
      <w:r>
        <w:t xml:space="preserve">5. Balance sheet and equity requirements</w:t>
      </w:r>
    </w:p>
    <w:p>
      <w:pPr>
        <w:pStyle w:val="FirstParagraph"/>
      </w:pPr>
      <w:r>
        <w:t xml:space="preserve">Duke previously targeted approximately</w:t>
      </w:r>
      <w:r>
        <w:t xml:space="preserve"> </w:t>
      </w:r>
      <w:r>
        <w:rPr>
          <w:b/>
          <w:bCs/>
        </w:rPr>
        <w:t xml:space="preserve">14.5% FFO-to-debt in 2026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15% over the long term</w:t>
      </w:r>
      <w:r>
        <w:t xml:space="preserve">. It also outlined approximately $10 billion of common-equity issuance through DRIP and ATM programs during 2027-2030, including $300 million priced in Q1 for settlement in December 2027. The company issued $1.5 billion of 3% convertible notes and closed more than $5 billion of strategic transaction proceeds during Q1. (</w:t>
      </w:r>
      <w:hyperlink r:id="rId10">
        <w:r>
          <w:rPr>
            <w:rStyle w:val="Hyperlink"/>
          </w:rPr>
          <w:t xml:space="preserve">s201.q4cdn.com</w:t>
        </w:r>
      </w:hyperlink>
      <w:r>
        <w:t xml:space="preserve">)</w:t>
      </w:r>
    </w:p>
    <w:p>
      <w:pPr>
        <w:pStyle w:val="BodyText"/>
      </w:pPr>
      <w:r>
        <w:t xml:space="preserve">Key questions include:</w:t>
      </w:r>
    </w:p>
    <w:p>
      <w:pPr>
        <w:pStyle w:val="Compact"/>
        <w:numPr>
          <w:ilvl w:val="0"/>
          <w:numId w:val="1008"/>
        </w:numPr>
      </w:pPr>
      <w:r>
        <w:t xml:space="preserve">Is the 14.5% 2026 credit target still on track?</w:t>
      </w:r>
    </w:p>
    <w:p>
      <w:pPr>
        <w:pStyle w:val="Compact"/>
        <w:numPr>
          <w:ilvl w:val="0"/>
          <w:numId w:val="1008"/>
        </w:numPr>
      </w:pPr>
      <w:r>
        <w:t xml:space="preserve">Have higher construction costs changed future equity needs?</w:t>
      </w:r>
    </w:p>
    <w:p>
      <w:pPr>
        <w:pStyle w:val="Compact"/>
        <w:numPr>
          <w:ilvl w:val="0"/>
          <w:numId w:val="1008"/>
        </w:numPr>
      </w:pPr>
      <w:r>
        <w:t xml:space="preserve">Are proceeds from the Florida minority stake and Tennessee gas sale being deployed as expected?</w:t>
      </w:r>
    </w:p>
    <w:p>
      <w:pPr>
        <w:pStyle w:val="Compact"/>
        <w:numPr>
          <w:ilvl w:val="0"/>
          <w:numId w:val="1008"/>
        </w:numPr>
      </w:pPr>
      <w:r>
        <w:t xml:space="preserve">Is the company comfortable with the planned 2027-2030 equity program?</w:t>
      </w:r>
    </w:p>
    <w:p>
      <w:pPr>
        <w:pStyle w:val="Compact"/>
        <w:numPr>
          <w:ilvl w:val="0"/>
          <w:numId w:val="1008"/>
        </w:numPr>
      </w:pPr>
      <w:r>
        <w:t xml:space="preserve">Could further asset monetization reduce common-equity issuance?</w:t>
      </w:r>
    </w:p>
    <w:p>
      <w:pPr>
        <w:pStyle w:val="FirstParagraph"/>
      </w:pPr>
      <w:r>
        <w:t xml:space="preserve">For a capital-intensive regulated utility, maintaining the credit plan without incremental equity is nearly as important as hitting EPS guidance.</w:t>
      </w:r>
    </w:p>
    <w:p>
      <w:r>
        <w:pict>
          <v:rect style="width:0;height:1.5pt" o:hralign="center" o:hrstd="t" o:hr="t"/>
        </w:pict>
      </w:r>
    </w:p>
    <w:bookmarkEnd w:id="18"/>
    <w:bookmarkStart w:id="20" w:name="X283fbb7de0a01ef3799cf5c667007054c6d6d02"/>
    <w:p>
      <w:pPr>
        <w:pStyle w:val="Heading3"/>
      </w:pPr>
      <w:r>
        <w:t xml:space="preserve">6. Customer affordability</w:t>
      </w:r>
    </w:p>
    <w:p>
      <w:pPr>
        <w:pStyle w:val="FirstParagraph"/>
      </w:pPr>
      <w:r>
        <w:t xml:space="preserve">Affordability has become the binding constraint on utility capital deployment. Duke has increasingly used tax credits and other mechanisms to reduce customer bill pressure.</w:t>
      </w:r>
    </w:p>
    <w:p>
      <w:pPr>
        <w:pStyle w:val="BodyText"/>
      </w:pPr>
      <w:r>
        <w:t xml:space="preserve">In Florida, the company recently announced</w:t>
      </w:r>
      <w:r>
        <w:t xml:space="preserve"> </w:t>
      </w:r>
      <w:r>
        <w:rPr>
          <w:b/>
          <w:bCs/>
        </w:rPr>
        <w:t xml:space="preserve">$50 million of customer savings in 2027</w:t>
      </w:r>
      <w:r>
        <w:t xml:space="preserve"> </w:t>
      </w:r>
      <w:r>
        <w:t xml:space="preserve">by accelerating battery investment-tax-credit benefits, allowing it to avoid a previously scheduled 2% base-rate increase. (</w:t>
      </w:r>
      <w:hyperlink r:id="rId19">
        <w:r>
          <w:rPr>
            <w:rStyle w:val="Hyperlink"/>
          </w:rPr>
          <w:t xml:space="preserve">news.duke-energy.com</w:t>
        </w:r>
      </w:hyperlink>
      <w:r>
        <w:t xml:space="preserve">)</w:t>
      </w:r>
    </w:p>
    <w:p>
      <w:pPr>
        <w:pStyle w:val="BodyText"/>
      </w:pPr>
      <w:r>
        <w:t xml:space="preserve">This is strategically positive because it supports regulatory goodwill, but investors should ask whether:</w:t>
      </w:r>
    </w:p>
    <w:p>
      <w:pPr>
        <w:pStyle w:val="Compact"/>
        <w:numPr>
          <w:ilvl w:val="0"/>
          <w:numId w:val="1009"/>
        </w:numPr>
      </w:pPr>
      <w:r>
        <w:t xml:space="preserve">The Florida action is earnings-neutral</w:t>
      </w:r>
    </w:p>
    <w:p>
      <w:pPr>
        <w:pStyle w:val="Compact"/>
        <w:numPr>
          <w:ilvl w:val="0"/>
          <w:numId w:val="1009"/>
        </w:numPr>
      </w:pPr>
      <w:r>
        <w:t xml:space="preserve">Similar tax-credit acceleration is available elsewhere</w:t>
      </w:r>
    </w:p>
    <w:p>
      <w:pPr>
        <w:pStyle w:val="Compact"/>
        <w:numPr>
          <w:ilvl w:val="0"/>
          <w:numId w:val="1009"/>
        </w:numPr>
      </w:pPr>
      <w:r>
        <w:t xml:space="preserve">Customer savings affect the timing of rate recovery</w:t>
      </w:r>
    </w:p>
    <w:p>
      <w:pPr>
        <w:pStyle w:val="Compact"/>
        <w:numPr>
          <w:ilvl w:val="0"/>
          <w:numId w:val="1009"/>
        </w:numPr>
      </w:pPr>
      <w:r>
        <w:t xml:space="preserve">Duke can continue investing at the planned pace without worsening bill pressure</w:t>
      </w:r>
    </w:p>
    <w:p>
      <w:pPr>
        <w:pStyle w:val="FirstParagraph"/>
      </w:pPr>
      <w:r>
        <w:t xml:space="preserve">The best outcome is one where management demonstrates that affordability initiatives improve regulatory durability</w:t>
      </w:r>
      <w:r>
        <w:t xml:space="preserve"> </w:t>
      </w:r>
      <w:r>
        <w:rPr>
          <w:b/>
          <w:bCs/>
        </w:rPr>
        <w:t xml:space="preserve">without sacrificing the targeted return on invested capital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bull-base-and-bear-cases"/>
    <w:p>
      <w:pPr>
        <w:pStyle w:val="Heading2"/>
      </w:pPr>
      <w:r>
        <w:t xml:space="preserve">Bull, base and bear cases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Scenario</w:t>
            </w:r>
          </w:p>
        </w:tc>
        <w:tc>
          <w:tcPr/>
          <w:p>
            <w:pPr>
              <w:pStyle w:val="Compact"/>
            </w:pPr>
            <w:r>
              <w:t xml:space="preserve">What the report would look like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Bull case</w:t>
            </w:r>
          </w:p>
        </w:tc>
        <w:tc>
          <w:tcPr/>
          <w:p>
            <w:pPr>
              <w:pStyle w:val="Compact"/>
            </w:pPr>
            <w:r>
              <w:t xml:space="preserve">Guidance reaffirmed with commentary pointing toward the upper half; O&amp;M normalizing; additional signed ESAs; clear 2027 energization milestones; Duke Energy Progress settlement approaching; 14.5% FFO/debt target intact.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 case</w:t>
            </w:r>
          </w:p>
        </w:tc>
        <w:tc>
          <w:tcPr/>
          <w:p>
            <w:pPr>
              <w:pStyle w:val="Compact"/>
            </w:pPr>
            <w:r>
              <w:t xml:space="preserve">EPS roughly consistent with the prior-year quarterly baseline; full-year guidance reaffirmed; no material changes to capex, load or financing plans; constructive but cautious commentary on regulation and affordability.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Bear case</w:t>
            </w:r>
          </w:p>
        </w:tc>
        <w:tc>
          <w:tcPr/>
          <w:p>
            <w:pPr>
              <w:pStyle w:val="Compact"/>
            </w:pPr>
            <w:r>
              <w:t xml:space="preserve">Higher O&amp;M, interest or depreciation pressure; guidance skewed toward the lower end; slower data-center schedules; capital-plan inflation; weaker credit metrics; or signs that the Carolinas settlement framework materially reduces expected returns.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questions-management-should-answer"/>
    <w:p>
      <w:pPr>
        <w:pStyle w:val="Heading2"/>
      </w:pPr>
      <w:r>
        <w:t xml:space="preserve">Questions management should answer</w:t>
      </w:r>
    </w:p>
    <w:p>
      <w:pPr>
        <w:pStyle w:val="Compact"/>
        <w:numPr>
          <w:ilvl w:val="0"/>
          <w:numId w:val="1010"/>
        </w:numPr>
      </w:pPr>
      <w:r>
        <w:t xml:space="preserve">Where is 2026 adjusted EPS tracking within the</w:t>
      </w:r>
      <w:r>
        <w:t xml:space="preserve"> </w:t>
      </w:r>
      <m:oMath>
        <m:r>
          <m:t>6.55</m:t>
        </m:r>
        <m:r>
          <m:rPr>
            <m:sty m:val="p"/>
          </m:rPr>
          <m:t>−</m:t>
        </m:r>
      </m:oMath>
      <w:r>
        <w:t xml:space="preserve">6.80 range?</w:t>
      </w:r>
    </w:p>
    <w:p>
      <w:pPr>
        <w:pStyle w:val="Compact"/>
        <w:numPr>
          <w:ilvl w:val="0"/>
          <w:numId w:val="1010"/>
        </w:numPr>
      </w:pPr>
      <w:r>
        <w:t xml:space="preserve">Is the full-year O&amp;M target still intact after elevated Q1 costs?</w:t>
      </w:r>
    </w:p>
    <w:p>
      <w:pPr>
        <w:pStyle w:val="Compact"/>
        <w:numPr>
          <w:ilvl w:val="0"/>
          <w:numId w:val="1010"/>
        </w:numPr>
      </w:pPr>
      <w:r>
        <w:t xml:space="preserve">How much of the Duke Energy Carolinas settlement was already assumed in guidance?</w:t>
      </w:r>
    </w:p>
    <w:p>
      <w:pPr>
        <w:pStyle w:val="Compact"/>
        <w:numPr>
          <w:ilvl w:val="0"/>
          <w:numId w:val="1010"/>
        </w:numPr>
      </w:pPr>
      <w:r>
        <w:t xml:space="preserve">What is the probability and timing of a similar Duke Energy Progress settlement?</w:t>
      </w:r>
    </w:p>
    <w:p>
      <w:pPr>
        <w:pStyle w:val="Compact"/>
        <w:numPr>
          <w:ilvl w:val="0"/>
          <w:numId w:val="1010"/>
        </w:numPr>
      </w:pPr>
      <w:r>
        <w:t xml:space="preserve">How many additional data-center megawatts have moved from pipeline to signed ESAs?</w:t>
      </w:r>
    </w:p>
    <w:p>
      <w:pPr>
        <w:pStyle w:val="Compact"/>
        <w:numPr>
          <w:ilvl w:val="0"/>
          <w:numId w:val="1010"/>
        </w:numPr>
      </w:pPr>
      <w:r>
        <w:t xml:space="preserve">Have any signed customers delayed construction or revised load-ramp schedules?</w:t>
      </w:r>
    </w:p>
    <w:p>
      <w:pPr>
        <w:pStyle w:val="Compact"/>
        <w:numPr>
          <w:ilvl w:val="0"/>
          <w:numId w:val="1010"/>
        </w:numPr>
      </w:pPr>
      <w:r>
        <w:t xml:space="preserve">Is the $103 billion capital plan unchanged?</w:t>
      </w:r>
    </w:p>
    <w:p>
      <w:pPr>
        <w:pStyle w:val="Compact"/>
        <w:numPr>
          <w:ilvl w:val="0"/>
          <w:numId w:val="1010"/>
        </w:numPr>
      </w:pPr>
      <w:r>
        <w:t xml:space="preserve">Are major gas projects still on schedule and budget?</w:t>
      </w:r>
    </w:p>
    <w:p>
      <w:pPr>
        <w:pStyle w:val="Compact"/>
        <w:numPr>
          <w:ilvl w:val="0"/>
          <w:numId w:val="1010"/>
        </w:numPr>
      </w:pPr>
      <w:r>
        <w:t xml:space="preserve">Does management remain confident in approximately 14.5% FFO-to-debt for 2026?</w:t>
      </w:r>
    </w:p>
    <w:p>
      <w:pPr>
        <w:pStyle w:val="Compact"/>
        <w:numPr>
          <w:ilvl w:val="0"/>
          <w:numId w:val="1010"/>
        </w:numPr>
      </w:pPr>
      <w:r>
        <w:t xml:space="preserve">Are Florida’s accelerated customer tax-credit benefits neutral to shareholder earnings?</w:t>
      </w:r>
    </w:p>
    <w:bookmarkEnd w:id="23"/>
    <w:bookmarkStart w:id="2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setup is favorable, but expectations should center on</w:t>
      </w:r>
      <w:r>
        <w:t xml:space="preserve"> </w:t>
      </w:r>
      <w:r>
        <w:rPr>
          <w:b/>
          <w:bCs/>
        </w:rPr>
        <w:t xml:space="preserve">execution and de-risking rather than a dramatic quarterly beat</w:t>
      </w:r>
      <w:r>
        <w:t xml:space="preserve">. Duke had a strong first quarter, secured a workable Carolinas settlement and has one of the clearest regulated growth runways in the sector.</w:t>
      </w:r>
    </w:p>
    <w:p>
      <w:pPr>
        <w:pStyle w:val="BodyText"/>
      </w:pPr>
      <w:r>
        <w:t xml:space="preserve">The report should be viewed positively if management:</w:t>
      </w:r>
    </w:p>
    <w:p>
      <w:pPr>
        <w:pStyle w:val="Compact"/>
        <w:numPr>
          <w:ilvl w:val="0"/>
          <w:numId w:val="1011"/>
        </w:numPr>
      </w:pPr>
      <w:r>
        <w:t xml:space="preserve">Reaffirms guidance without caveats,</w:t>
      </w:r>
    </w:p>
    <w:p>
      <w:pPr>
        <w:pStyle w:val="Compact"/>
        <w:numPr>
          <w:ilvl w:val="0"/>
          <w:numId w:val="1011"/>
        </w:numPr>
      </w:pPr>
      <w:r>
        <w:t xml:space="preserve">Maintains its cost and credit targets,</w:t>
      </w:r>
    </w:p>
    <w:p>
      <w:pPr>
        <w:pStyle w:val="Compact"/>
        <w:numPr>
          <w:ilvl w:val="0"/>
          <w:numId w:val="1011"/>
        </w:numPr>
      </w:pPr>
      <w:r>
        <w:t xml:space="preserve">Shows measurable ESA and construction progress, and</w:t>
      </w:r>
    </w:p>
    <w:p>
      <w:pPr>
        <w:pStyle w:val="Compact"/>
        <w:numPr>
          <w:ilvl w:val="0"/>
          <w:numId w:val="1011"/>
        </w:numPr>
      </w:pPr>
      <w:r>
        <w:t xml:space="preserve">Signals that the Duke Energy Progress rate case can follow the Carolinas settlement framework.</w:t>
      </w:r>
    </w:p>
    <w:p>
      <w:pPr>
        <w:pStyle w:val="FirstParagraph"/>
      </w:pPr>
      <w:r>
        <w:t xml:space="preserve">The main risk is that affordability concessions, construction inflation and financing needs begin to dilute the attractive headline growth implied by the $103 billion capital plan.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https://news.duke-energy.com/releases/duke-energy-florida-delivers-50-million-in-customer-savings-avoids-2027-base-rate-increase-through-innovative-tax-strategy" TargetMode="External" /><Relationship Type="http://schemas.openxmlformats.org/officeDocument/2006/relationships/hyperlink" Id="rId9" Target="https://news.duke-energy.com/releases/duke-energy-to-announce-second-quarter-2026-financial-results-on-aug-4" TargetMode="External" /><Relationship Type="http://schemas.openxmlformats.org/officeDocument/2006/relationships/hyperlink" Id="rId10" Target="https://s201.q4cdn.com/583395453/files/doc_financials/2026/q1/Q1-2026-Earnings-Presentation-w-Reg-G.pdf" TargetMode="External" /><Relationship Type="http://schemas.openxmlformats.org/officeDocument/2006/relationships/hyperlink" Id="rId11" Target="https://www.sec.gov/Archives/edgar/data/1326160/000132616025000165/er-20250630xearningsreleas.htm?utm_source=openai" TargetMode="External" /><Relationship Type="http://schemas.openxmlformats.org/officeDocument/2006/relationships/hyperlink" Id="rId14" Target="https://www.sec.gov/Archives/edgar/data/30371/000110465926084653/tm2620766d1_8k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s://news.duke-energy.com/releases/duke-energy-florida-delivers-50-million-in-customer-savings-avoids-2027-base-rate-increase-through-innovative-tax-strategy" TargetMode="External" /><Relationship Type="http://schemas.openxmlformats.org/officeDocument/2006/relationships/hyperlink" Id="rId9" Target="https://news.duke-energy.com/releases/duke-energy-to-announce-second-quarter-2026-financial-results-on-aug-4" TargetMode="External" /><Relationship Type="http://schemas.openxmlformats.org/officeDocument/2006/relationships/hyperlink" Id="rId10" Target="https://s201.q4cdn.com/583395453/files/doc_financials/2026/q1/Q1-2026-Earnings-Presentation-w-Reg-G.pdf" TargetMode="External" /><Relationship Type="http://schemas.openxmlformats.org/officeDocument/2006/relationships/hyperlink" Id="rId11" Target="https://www.sec.gov/Archives/edgar/data/1326160/000132616025000165/er-20250630xearningsreleas.htm?utm_source=openai" TargetMode="External" /><Relationship Type="http://schemas.openxmlformats.org/officeDocument/2006/relationships/hyperlink" Id="rId14" Target="https://www.sec.gov/Archives/edgar/data/30371/000110465926084653/tm2620766d1_8k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2026-08-04T01:06:30Z</dcterms:created>
  <dcterms:modified xsi:type="dcterms:W3CDTF">2026-08-04T01:06:30Z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