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uk-earnings-predictions--2026-08-04"/>
    <w:p>
      <w:pPr>
        <w:pStyle w:val="Heading1"/>
      </w:pPr>
      <w:r>
        <w:t xml:space="preserve">DUK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 vs. cons $1.31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~$7.75B vs. cons $7.69B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Executed data-center electric-service agreements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~8.2 GW vs. cons 8.0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~$6.68 midpoint vs. cons $6.70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O&amp;M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~0.0% vs. cons +0.5%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FFO-to-debt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~14.5% vs. cons 14.5%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EPS/ESA beat combined with maintained</w:t>
            </w:r>
            <w:r>
              <w:t xml:space="preserve"> 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</m:oMath>
            <w:r>
              <w:t xml:space="preserve">6.80 FY26 EPS and 14.5% FFO-to-debt targets should support modest upward confidence in the regulated-growth trajectory; unchanged out-period guidance limits the magnitude, but avoids the implicit estimate cuts that would otherwise cause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2026-08-04T01:05:21Z</dcterms:created>
  <dcterms:modified xsi:type="dcterms:W3CDTF">2026-08-04T01:05:21Z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