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8517feab9e0d8eac0d0daeace444e509b09b9d1"/>
    <w:p>
      <w:pPr>
        <w:pStyle w:val="Heading1"/>
      </w:pPr>
      <w:r>
        <w:t xml:space="preserve">Duke Energy (NYSE: DUK) — 2Q26 Earnings Preview</w:t>
      </w:r>
    </w:p>
    <w:p>
      <w:pPr>
        <w:pStyle w:val="BlockText"/>
      </w:pPr>
      <w:r>
        <w:rPr>
          <w:b/>
          <w:bCs/>
        </w:rPr>
        <w:t xml:space="preserve">Date clarification:</w:t>
      </w:r>
      <w:r>
        <w:t xml:space="preserve"> </w:t>
      </w:r>
      <w:r>
        <w:t xml:space="preserve">Today is</w:t>
      </w:r>
      <w:r>
        <w:t xml:space="preserve"> </w:t>
      </w:r>
      <w:r>
        <w:rPr>
          <w:b/>
          <w:bCs/>
        </w:rPr>
        <w:t xml:space="preserve">Tuesday, August 4, 2026</w:t>
      </w:r>
      <w:r>
        <w:t xml:space="preserve">. Duke is scheduled to release 2Q26 results at</w:t>
      </w:r>
      <w:r>
        <w:t xml:space="preserve"> </w:t>
      </w:r>
      <w:r>
        <w:rPr>
          <w:b/>
          <w:bCs/>
        </w:rPr>
        <w:t xml:space="preserve">7:00 a.m. ET today</w:t>
      </w:r>
      <w:r>
        <w:t xml:space="preserve">, followed by its analyst call at</w:t>
      </w:r>
      <w:r>
        <w:t xml:space="preserve"> </w:t>
      </w:r>
      <w:r>
        <w:rPr>
          <w:b/>
          <w:bCs/>
        </w:rPr>
        <w:t xml:space="preserve">10:00 a.m. ET</w:t>
      </w:r>
      <w:r>
        <w:t xml:space="preserve">—so this is a pre-release preview rather than a preview for “tomorrow.” (</w:t>
      </w:r>
      <w:hyperlink r:id="rId9">
        <w:r>
          <w:rPr>
            <w:rStyle w:val="Hyperlink"/>
          </w:rPr>
          <w:t xml:space="preserve">news.duke-energy.com</w:t>
        </w:r>
      </w:hyperlink>
      <w:r>
        <w:t xml:space="preserve">)</w:t>
      </w:r>
    </w:p>
    <w:bookmarkStart w:id="10" w:name="bottom-line"/>
    <w:p>
      <w:pPr>
        <w:pStyle w:val="Heading2"/>
      </w:pPr>
      <w:r>
        <w:t xml:space="preserve">Bottom line</w:t>
      </w:r>
    </w:p>
    <w:p>
      <w:pPr>
        <w:pStyle w:val="FirstParagraph"/>
      </w:pPr>
      <w:r>
        <w:t xml:space="preserve">Duke enters 2Q with its central investment case intact: a large, regulated capital program supported by fast-growing service territories, increasingly visible data-center demand, and a more manageable financing setup following asset monetizations. The report’s decisive issue is unlikely to be one quarter’s EPS alone. Instead, investors should focus on whether management:</w:t>
      </w:r>
    </w:p>
    <w:p>
      <w:pPr>
        <w:pStyle w:val="Compact"/>
        <w:numPr>
          <w:ilvl w:val="0"/>
          <w:numId w:val="1001"/>
        </w:numPr>
      </w:pPr>
      <w:r>
        <w:rPr>
          <w:b/>
          <w:bCs/>
        </w:rPr>
        <w:t xml:space="preserve">Reaffirms the</w:t>
      </w:r>
      <w:r>
        <w:rPr>
          <w:b/>
          <w:bCs/>
        </w:rPr>
        <w:t xml:space="preserve"> </w:t>
      </w:r>
      <m:oMath>
        <m:r>
          <m:t>6.55</m:t>
        </m:r>
        <m:r>
          <m:rPr>
            <m:sty m:val="p"/>
          </m:rPr>
          <m:t>–</m:t>
        </m:r>
      </m:oMath>
      <w:r>
        <w:rPr>
          <w:b/>
          <w:bCs/>
        </w:rPr>
        <w:t xml:space="preserve">6.80 adjusted-EPS guide</w:t>
      </w:r>
      <w:r>
        <w:t xml:space="preserve"> </w:t>
      </w:r>
      <w:r>
        <w:t xml:space="preserve">and its expectation to earn in the top half of the long-term 5%–7% growth range beginning in 2028;</w:t>
      </w:r>
    </w:p>
    <w:p>
      <w:pPr>
        <w:pStyle w:val="Compact"/>
        <w:numPr>
          <w:ilvl w:val="0"/>
          <w:numId w:val="1001"/>
        </w:numPr>
      </w:pPr>
      <w:r>
        <w:t xml:space="preserve">Demonstrates that</w:t>
      </w:r>
      <w:r>
        <w:t xml:space="preserve"> </w:t>
      </w:r>
      <w:r>
        <w:rPr>
          <w:b/>
          <w:bCs/>
        </w:rPr>
        <w:t xml:space="preserve">O&amp;M and storm costs remain controlled</w:t>
      </w:r>
      <w:r>
        <w:t xml:space="preserve"> </w:t>
      </w:r>
      <w:r>
        <w:t xml:space="preserve">after a costly first quarter;</w:t>
      </w:r>
    </w:p>
    <w:p>
      <w:pPr>
        <w:pStyle w:val="Compact"/>
        <w:numPr>
          <w:ilvl w:val="0"/>
          <w:numId w:val="1001"/>
        </w:numPr>
      </w:pPr>
      <w:r>
        <w:t xml:space="preserve">Provides more evidence that contracted large-load demand can be converted into earnings-accretive capital deployment without shifting costs to legacy customers; and</w:t>
      </w:r>
    </w:p>
    <w:p>
      <w:pPr>
        <w:pStyle w:val="Compact"/>
        <w:numPr>
          <w:ilvl w:val="0"/>
          <w:numId w:val="1001"/>
        </w:numPr>
      </w:pPr>
      <w:r>
        <w:t xml:space="preserve">Frames the July North Carolina rate-case settlement as a meaningful reduction in regulatory risk rather than an indication of deteriorating allowed returns or affordability pressure.</w:t>
      </w:r>
    </w:p>
    <w:p>
      <w:pPr>
        <w:pStyle w:val="FirstParagraph"/>
      </w:pPr>
      <w:r>
        <w:t xml:space="preserve">My read is that</w:t>
      </w:r>
      <w:r>
        <w:t xml:space="preserve"> </w:t>
      </w:r>
      <w:r>
        <w:rPr>
          <w:b/>
          <w:bCs/>
        </w:rPr>
        <w:t xml:space="preserve">guidance durability, regulatory execution, and the data-center conversion cadence matter more than a modest EPS beat/miss.</w:t>
      </w:r>
    </w:p>
    <w:p>
      <w:r>
        <w:pict>
          <v:rect style="width:0;height:1.5pt" o:hralign="center" o:hrstd="t" o:hr="t"/>
        </w:pict>
      </w:r>
    </w:p>
    <w:bookmarkEnd w:id="10"/>
    <w:bookmarkStart w:id="12" w:name="X5ec72b95161d1447d97c0bcbab1c446834076a9"/>
    <w:p>
      <w:pPr>
        <w:pStyle w:val="Heading2"/>
      </w:pPr>
      <w:r>
        <w:t xml:space="preserve">Setup: Q1 created a high bar for execution, not necessarily for headline EPS</w:t>
      </w:r>
    </w:p>
    <w:p>
      <w:pPr>
        <w:pStyle w:val="FirstParagraph"/>
      </w:pPr>
      <w:r>
        <w:t xml:space="preserve">Duke reported</w:t>
      </w:r>
      <w:r>
        <w:t xml:space="preserve"> </w:t>
      </w:r>
      <w:r>
        <w:rPr>
          <w:b/>
          <w:bCs/>
        </w:rPr>
        <w:t xml:space="preserve">1Q26 adjusted EPS of $1.93</w:t>
      </w:r>
      <w:r>
        <w:t xml:space="preserve">, up from</w:t>
      </w:r>
      <w:r>
        <w:t xml:space="preserve"> </w:t>
      </w:r>
      <w:r>
        <w:t xml:space="preserve">$1.76 in 1Q25. The underlying improvement was driven by rate recovery on infrastructure investment, favorable weather, and customer/usage growth; offsets included higher storm-related O&amp;M, depreciation, and interest expense. Management reaffirmed 2026 adjusted EPS guidance of **$</w:t>
      </w:r>
      <w:r>
        <w:t xml:space="preserve">6.55–$6.80**.</w:t>
      </w:r>
    </w:p>
    <w:p>
      <w:pPr>
        <w:pStyle w:val="BodyText"/>
      </w:pPr>
      <w:r>
        <w:t xml:space="preserve">The key nuance: Q1’s strong year-over-year result included weather support, while management characterized storm-cost pressure as principally a timing issue and continued to target</w:t>
      </w:r>
      <w:r>
        <w:t xml:space="preserve"> </w:t>
      </w:r>
      <w:r>
        <w:rPr>
          <w:b/>
          <w:bCs/>
        </w:rPr>
        <w:t xml:space="preserve">flat full-year O&amp;M</w:t>
      </w:r>
      <w:r>
        <w:t xml:space="preserve">. That makes the second-quarter cost trajectory an important credibility test.</w:t>
      </w:r>
    </w:p>
    <w:bookmarkStart w:id="11" w:name="what-2q-needs-to-show"/>
    <w:p>
      <w:pPr>
        <w:pStyle w:val="Heading3"/>
      </w:pPr>
      <w:r>
        <w:t xml:space="preserve">What 2Q needs to show</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What investors want</w:t>
            </w:r>
          </w:p>
        </w:tc>
        <w:tc>
          <w:tcPr/>
          <w:p>
            <w:pPr>
              <w:pStyle w:val="Compact"/>
            </w:pPr>
            <w:r>
              <w:t xml:space="preserve">Why it matters</w:t>
            </w:r>
          </w:p>
        </w:tc>
      </w:tr>
      <w:tr>
        <w:tc>
          <w:tcPr/>
          <w:p>
            <w:pPr>
              <w:pStyle w:val="Compact"/>
            </w:pPr>
            <w:r>
              <w:rPr>
                <w:b/>
                <w:bCs/>
              </w:rPr>
              <w:t xml:space="preserve">Full-year guidance</w:t>
            </w:r>
          </w:p>
        </w:tc>
        <w:tc>
          <w:tcPr/>
          <w:p>
            <w:pPr>
              <w:pStyle w:val="Compact"/>
            </w:pPr>
            <w:r>
              <w:t xml:space="preserve">Reaffirmation, ideally with confidence around the range</w:t>
            </w:r>
          </w:p>
        </w:tc>
        <w:tc>
          <w:tcPr/>
          <w:p>
            <w:pPr>
              <w:pStyle w:val="Compact"/>
            </w:pPr>
            <w:r>
              <w:t xml:space="preserve">The simplest confirmation that Q1 strength was not merely weather-driven</w:t>
            </w:r>
          </w:p>
        </w:tc>
      </w:tr>
      <w:tr>
        <w:tc>
          <w:tcPr/>
          <w:p>
            <w:pPr>
              <w:pStyle w:val="Compact"/>
            </w:pPr>
            <w:r>
              <w:rPr>
                <w:b/>
                <w:bCs/>
              </w:rPr>
              <w:t xml:space="preserve">O&amp;M / storms</w:t>
            </w:r>
          </w:p>
        </w:tc>
        <w:tc>
          <w:tcPr/>
          <w:p>
            <w:pPr>
              <w:pStyle w:val="Compact"/>
            </w:pPr>
            <w:r>
              <w:t xml:space="preserve">Evidence that storm costs do not become a recurring earnings drag</w:t>
            </w:r>
          </w:p>
        </w:tc>
        <w:tc>
          <w:tcPr/>
          <w:p>
            <w:pPr>
              <w:pStyle w:val="Compact"/>
            </w:pPr>
            <w:r>
              <w:t xml:space="preserve">Flat O&amp;M is a key funding and affordability assumption</w:t>
            </w:r>
          </w:p>
        </w:tc>
      </w:tr>
      <w:tr>
        <w:tc>
          <w:tcPr/>
          <w:p>
            <w:pPr>
              <w:pStyle w:val="Compact"/>
            </w:pPr>
            <w:r>
              <w:rPr>
                <w:b/>
                <w:bCs/>
              </w:rPr>
              <w:t xml:space="preserve">Rate-base recovery</w:t>
            </w:r>
          </w:p>
        </w:tc>
        <w:tc>
          <w:tcPr/>
          <w:p>
            <w:pPr>
              <w:pStyle w:val="Compact"/>
            </w:pPr>
            <w:r>
              <w:t xml:space="preserve">Continued benefit from riders, prior rate outcomes, and infrastructure placed in service</w:t>
            </w:r>
          </w:p>
        </w:tc>
        <w:tc>
          <w:tcPr/>
          <w:p>
            <w:pPr>
              <w:pStyle w:val="Compact"/>
            </w:pPr>
            <w:r>
              <w:t xml:space="preserve">The core regulated earnings engine</w:t>
            </w:r>
          </w:p>
        </w:tc>
      </w:tr>
      <w:tr>
        <w:tc>
          <w:tcPr/>
          <w:p>
            <w:pPr>
              <w:pStyle w:val="Compact"/>
            </w:pPr>
            <w:r>
              <w:rPr>
                <w:b/>
                <w:bCs/>
              </w:rPr>
              <w:t xml:space="preserve">Interest expense / financing</w:t>
            </w:r>
          </w:p>
        </w:tc>
        <w:tc>
          <w:tcPr/>
          <w:p>
            <w:pPr>
              <w:pStyle w:val="Compact"/>
            </w:pPr>
            <w:r>
              <w:t xml:space="preserve">No deterioration in financing outlook</w:t>
            </w:r>
          </w:p>
        </w:tc>
        <w:tc>
          <w:tcPr/>
          <w:p>
            <w:pPr>
              <w:pStyle w:val="Compact"/>
            </w:pPr>
            <w:r>
              <w:t xml:space="preserve">Duke’s capital plan remains debt- and equity-intensive</w:t>
            </w:r>
          </w:p>
        </w:tc>
      </w:tr>
      <w:tr>
        <w:tc>
          <w:tcPr/>
          <w:p>
            <w:pPr>
              <w:pStyle w:val="Compact"/>
            </w:pPr>
            <w:r>
              <w:rPr>
                <w:b/>
                <w:bCs/>
              </w:rPr>
              <w:t xml:space="preserve">Load growth</w:t>
            </w:r>
          </w:p>
        </w:tc>
        <w:tc>
          <w:tcPr/>
          <w:p>
            <w:pPr>
              <w:pStyle w:val="Compact"/>
            </w:pPr>
            <w:r>
              <w:t xml:space="preserve">New ESAs, clearer ramp timing, and firm customer protections</w:t>
            </w:r>
          </w:p>
        </w:tc>
        <w:tc>
          <w:tcPr/>
          <w:p>
            <w:pPr>
              <w:pStyle w:val="Compact"/>
            </w:pPr>
            <w:r>
              <w:t xml:space="preserve">Determines whether long-term capital-plan upside is real and investable</w:t>
            </w:r>
          </w:p>
        </w:tc>
      </w:tr>
      <w:tr>
        <w:tc>
          <w:tcPr/>
          <w:p>
            <w:pPr>
              <w:pStyle w:val="Compact"/>
            </w:pPr>
            <w:r>
              <w:rPr>
                <w:b/>
                <w:bCs/>
              </w:rPr>
              <w:t xml:space="preserve">Regulation</w:t>
            </w:r>
          </w:p>
        </w:tc>
        <w:tc>
          <w:tcPr/>
          <w:p>
            <w:pPr>
              <w:pStyle w:val="Compact"/>
            </w:pPr>
            <w:r>
              <w:t xml:space="preserve">Updates on DEC/DEP settlements and large-load tariff design</w:t>
            </w:r>
          </w:p>
        </w:tc>
        <w:tc>
          <w:tcPr/>
          <w:p>
            <w:pPr>
              <w:pStyle w:val="Compact"/>
            </w:pPr>
            <w:r>
              <w:t xml:space="preserve">Regulatory construct is central to returns, timing, and customer affordability</w:t>
            </w:r>
          </w:p>
        </w:tc>
      </w:tr>
    </w:tbl>
    <w:p>
      <w:r>
        <w:pict>
          <v:rect style="width:0;height:1.5pt" o:hralign="center" o:hrstd="t" o:hr="t"/>
        </w:pict>
      </w:r>
    </w:p>
    <w:bookmarkEnd w:id="11"/>
    <w:bookmarkEnd w:id="12"/>
    <w:bookmarkStart w:id="15" w:name="X2b54600cdbe23f34cabcab0dbe1e71490a6cee0"/>
    <w:p>
      <w:pPr>
        <w:pStyle w:val="Heading2"/>
      </w:pPr>
      <w:r>
        <w:t xml:space="preserve">The major debate: can data-center demand become regulated earnings without a customer-affordability backlash?</w:t>
      </w:r>
    </w:p>
    <w:p>
      <w:pPr>
        <w:pStyle w:val="FirstParagraph"/>
      </w:pPr>
      <w:r>
        <w:t xml:space="preserve">At the May call, Duke cited approximately</w:t>
      </w:r>
      <w:r>
        <w:t xml:space="preserve"> </w:t>
      </w:r>
      <w:r>
        <w:rPr>
          <w:b/>
          <w:bCs/>
        </w:rPr>
        <w:t xml:space="preserve">7.6 GW of executed electric-service agreements</w:t>
      </w:r>
      <w:r>
        <w:t xml:space="preserve">, with roughly two-thirds of projects under construction, plus a</w:t>
      </w:r>
      <w:r>
        <w:t xml:space="preserve"> </w:t>
      </w:r>
      <w:r>
        <w:rPr>
          <w:b/>
          <w:bCs/>
        </w:rPr>
        <w:t xml:space="preserve">15.4 GW late-stage, high-confidence pipeline</w:t>
      </w:r>
      <w:r>
        <w:t xml:space="preserve"> </w:t>
      </w:r>
      <w:r>
        <w:t xml:space="preserve">inclusive of signed agreements. Management’s expected timing is important: the earliest meaningful energy consumption begins in the second half of 2027, with ramping through the early 2030s. Thus, this is primarily a</w:t>
      </w:r>
      <w:r>
        <w:t xml:space="preserve"> </w:t>
      </w:r>
      <w:r>
        <w:rPr>
          <w:b/>
          <w:bCs/>
        </w:rPr>
        <w:t xml:space="preserve">medium-term growth and capital-allocation catalyst</w:t>
      </w:r>
      <w:r>
        <w:t xml:space="preserve">, not a material 2Q26 volume contributor.</w:t>
      </w:r>
    </w:p>
    <w:p>
      <w:pPr>
        <w:pStyle w:val="BodyText"/>
      </w:pPr>
      <w:r>
        <w:t xml:space="preserve">The near-term question is whether Duke keeps converting prospects into signed, protected demand commitments. The company’s framework includes customer-funded connection costs, minimum commitments, financial security, termination charges, and—in limited cases—curtailment provisions. Those provisions are designed to keep speculative load from leaving existing customers with stranded grid or generation costs. (</w:t>
      </w:r>
      <w:hyperlink r:id="rId13">
        <w:r>
          <w:rPr>
            <w:rStyle w:val="Hyperlink"/>
          </w:rPr>
          <w:t xml:space="preserve">news.duke-energy.com</w:t>
        </w:r>
      </w:hyperlink>
      <w:r>
        <w:t xml:space="preserve">)</w:t>
      </w:r>
    </w:p>
    <w:bookmarkStart w:id="14" w:name="what-to-listen-for-on-the-call"/>
    <w:p>
      <w:pPr>
        <w:pStyle w:val="Heading3"/>
      </w:pPr>
      <w:r>
        <w:t xml:space="preserve">What to listen for on the call</w:t>
      </w:r>
    </w:p>
    <w:p>
      <w:pPr>
        <w:pStyle w:val="Compact"/>
        <w:numPr>
          <w:ilvl w:val="0"/>
          <w:numId w:val="1002"/>
        </w:numPr>
      </w:pPr>
      <w:r>
        <w:rPr>
          <w:b/>
          <w:bCs/>
        </w:rPr>
        <w:t xml:space="preserve">Incremental signed GW</w:t>
      </w:r>
      <w:r>
        <w:t xml:space="preserve"> </w:t>
      </w:r>
      <w:r>
        <w:t xml:space="preserve">since the first-quarter update.</w:t>
      </w:r>
    </w:p>
    <w:p>
      <w:pPr>
        <w:pStyle w:val="Compact"/>
        <w:numPr>
          <w:ilvl w:val="0"/>
          <w:numId w:val="1002"/>
        </w:numPr>
      </w:pPr>
      <w:r>
        <w:t xml:space="preserve">The mix by territory—especially the Carolinas, Florida, and Indiana.</w:t>
      </w:r>
    </w:p>
    <w:p>
      <w:pPr>
        <w:pStyle w:val="Compact"/>
        <w:numPr>
          <w:ilvl w:val="0"/>
          <w:numId w:val="1002"/>
        </w:numPr>
      </w:pPr>
      <w:r>
        <w:t xml:space="preserve">Whether customer ramp dates are becoming earlier or more certain.</w:t>
      </w:r>
    </w:p>
    <w:p>
      <w:pPr>
        <w:pStyle w:val="Compact"/>
        <w:numPr>
          <w:ilvl w:val="0"/>
          <w:numId w:val="1002"/>
        </w:numPr>
      </w:pPr>
      <w:r>
        <w:t xml:space="preserve">Details on deposits, take-or-pay structures, termination rights, and credit support.</w:t>
      </w:r>
    </w:p>
    <w:p>
      <w:pPr>
        <w:pStyle w:val="Compact"/>
        <w:numPr>
          <w:ilvl w:val="0"/>
          <w:numId w:val="1002"/>
        </w:numPr>
      </w:pPr>
      <w:r>
        <w:t xml:space="preserve">Incremental generation, transmission, and distribution capital required to serve the projects.</w:t>
      </w:r>
    </w:p>
    <w:p>
      <w:pPr>
        <w:pStyle w:val="Compact"/>
        <w:numPr>
          <w:ilvl w:val="0"/>
          <w:numId w:val="1002"/>
        </w:numPr>
      </w:pPr>
      <w:r>
        <w:t xml:space="preserve">Any signs that regulators seek a more prescriptive large-load tariff before new rates take effect.</w:t>
      </w:r>
    </w:p>
    <w:p>
      <w:pPr>
        <w:pStyle w:val="FirstParagraph"/>
      </w:pPr>
      <w:r>
        <w:rPr>
          <w:b/>
          <w:bCs/>
        </w:rPr>
        <w:t xml:space="preserve">Investor implication:</w:t>
      </w:r>
      <w:r>
        <w:t xml:space="preserve"> </w:t>
      </w:r>
      <w:r>
        <w:t xml:space="preserve">More signed capacity is a positive only if Duke can demonstrate that contracts support capital recovery and preserve affordability. That distinction is why the structure of the agreements matters at least as much as the headline GW number.</w:t>
      </w:r>
    </w:p>
    <w:p>
      <w:r>
        <w:pict>
          <v:rect style="width:0;height:1.5pt" o:hralign="center" o:hrstd="t" o:hr="t"/>
        </w:pict>
      </w:r>
    </w:p>
    <w:bookmarkEnd w:id="14"/>
    <w:bookmarkEnd w:id="15"/>
    <w:bookmarkStart w:id="18" w:name="X26cdda3d4c9e52c67a34781a50512be1208a224"/>
    <w:p>
      <w:pPr>
        <w:pStyle w:val="Heading2"/>
      </w:pPr>
      <w:r>
        <w:t xml:space="preserve">Regulatory update: North Carolina settlement is a net derisking event, with trade-offs</w:t>
      </w:r>
    </w:p>
    <w:p>
      <w:pPr>
        <w:pStyle w:val="FirstParagraph"/>
      </w:pPr>
      <w:r>
        <w:t xml:space="preserve">On July 17, Duke Energy Carolinas reached a comprehensive settlement with North Carolina Public Staff and other parties. Subject to NCUC approval, the settlement includes a</w:t>
      </w:r>
      <w:r>
        <w:t xml:space="preserve"> </w:t>
      </w:r>
      <w:r>
        <w:rPr>
          <w:b/>
          <w:bCs/>
        </w:rPr>
        <w:t xml:space="preserve">9.8% ROE</w:t>
      </w:r>
      <w:r>
        <w:t xml:space="preserve">, a</w:t>
      </w:r>
      <w:r>
        <w:t xml:space="preserve"> </w:t>
      </w:r>
      <w:r>
        <w:rPr>
          <w:b/>
          <w:bCs/>
        </w:rPr>
        <w:t xml:space="preserve">53% equity ratio</w:t>
      </w:r>
      <w:r>
        <w:t xml:space="preserve">, and an average annual customer rate increase of</w:t>
      </w:r>
      <w:r>
        <w:t xml:space="preserve"> </w:t>
      </w:r>
      <w:r>
        <w:rPr>
          <w:b/>
          <w:bCs/>
        </w:rPr>
        <w:t xml:space="preserve">3.7% over two years</w:t>
      </w:r>
      <w:r>
        <w:t xml:space="preserve">. It also includes a multiyear rate-plan refund mechanism if approved infrastructure projects are not completed on time. New rates are targeted for</w:t>
      </w:r>
      <w:r>
        <w:t xml:space="preserve"> </w:t>
      </w:r>
      <w:r>
        <w:rPr>
          <w:b/>
          <w:bCs/>
        </w:rPr>
        <w:t xml:space="preserve">January 1, 2027</w:t>
      </w:r>
      <w:r>
        <w:t xml:space="preserve">. (</w:t>
      </w:r>
      <w:hyperlink r:id="rId16">
        <w:r>
          <w:rPr>
            <w:rStyle w:val="Hyperlink"/>
          </w:rPr>
          <w:t xml:space="preserve">news.duke-energy.com</w:t>
        </w:r>
      </w:hyperlink>
      <w:r>
        <w:t xml:space="preserve">)</w:t>
      </w:r>
    </w:p>
    <w:p>
      <w:pPr>
        <w:pStyle w:val="BodyText"/>
      </w:pPr>
      <w:r>
        <w:t xml:space="preserve">The agreement reduces the revenue requirement materially from Duke’s original filing, which is a near-term give-up. But it also meaningfully reduces uncertainty around rate design, capital recovery, and project execution. The settlement’s inclusion of approximately $3.8 billion of North Carolina retail capital in the multiyear plan is particularly important because it protects a substantial portion of the company’s infrastructure agenda.</w:t>
      </w:r>
    </w:p>
    <w:bookmarkStart w:id="17" w:name="how-to-interpret-it"/>
    <w:p>
      <w:pPr>
        <w:pStyle w:val="Heading3"/>
      </w:pPr>
      <w:r>
        <w:t xml:space="preserve">How to interpret it</w:t>
      </w:r>
    </w:p>
    <w:p>
      <w:pPr>
        <w:pStyle w:val="FirstParagraph"/>
      </w:pPr>
      <w:r>
        <w:rPr>
          <w:b/>
          <w:bCs/>
        </w:rPr>
        <w:t xml:space="preserve">Positives</w:t>
      </w:r>
    </w:p>
    <w:p>
      <w:pPr>
        <w:pStyle w:val="Compact"/>
        <w:numPr>
          <w:ilvl w:val="0"/>
          <w:numId w:val="1003"/>
        </w:numPr>
      </w:pPr>
      <w:r>
        <w:t xml:space="preserve">Reduces litigation and outcome uncertainty.</w:t>
      </w:r>
    </w:p>
    <w:p>
      <w:pPr>
        <w:pStyle w:val="Compact"/>
        <w:numPr>
          <w:ilvl w:val="0"/>
          <w:numId w:val="1003"/>
        </w:numPr>
      </w:pPr>
      <w:r>
        <w:t xml:space="preserve">Preserves a constructive multiyear regulatory structure.</w:t>
      </w:r>
    </w:p>
    <w:p>
      <w:pPr>
        <w:pStyle w:val="Compact"/>
        <w:numPr>
          <w:ilvl w:val="0"/>
          <w:numId w:val="1003"/>
        </w:numPr>
      </w:pPr>
      <w:r>
        <w:t xml:space="preserve">Creates a clearer path to January 2027 new rates.</w:t>
      </w:r>
    </w:p>
    <w:p>
      <w:pPr>
        <w:pStyle w:val="Compact"/>
        <w:numPr>
          <w:ilvl w:val="0"/>
          <w:numId w:val="1003"/>
        </w:numPr>
      </w:pPr>
      <w:r>
        <w:t xml:space="preserve">Supports a separate large-load tariff proceeding before rates take effect.</w:t>
      </w:r>
    </w:p>
    <w:p>
      <w:pPr>
        <w:pStyle w:val="FirstParagraph"/>
      </w:pPr>
      <w:r>
        <w:rPr>
          <w:b/>
          <w:bCs/>
        </w:rPr>
        <w:t xml:space="preserve">Risks / offsets</w:t>
      </w:r>
    </w:p>
    <w:p>
      <w:pPr>
        <w:pStyle w:val="Compact"/>
        <w:numPr>
          <w:ilvl w:val="0"/>
          <w:numId w:val="1004"/>
        </w:numPr>
      </w:pPr>
      <w:r>
        <w:t xml:space="preserve">The 9.8% allowed ROE is below Duke’s prior requested return.</w:t>
      </w:r>
    </w:p>
    <w:p>
      <w:pPr>
        <w:pStyle w:val="Compact"/>
        <w:numPr>
          <w:ilvl w:val="0"/>
          <w:numId w:val="1004"/>
        </w:numPr>
      </w:pPr>
      <w:r>
        <w:t xml:space="preserve">The refund mechanism increases accountability for capital timing and execution.</w:t>
      </w:r>
    </w:p>
    <w:p>
      <w:pPr>
        <w:pStyle w:val="Compact"/>
        <w:numPr>
          <w:ilvl w:val="0"/>
          <w:numId w:val="1004"/>
        </w:numPr>
      </w:pPr>
      <w:r>
        <w:t xml:space="preserve">Customer affordability remains politically and regulatorily sensitive.</w:t>
      </w:r>
    </w:p>
    <w:p>
      <w:pPr>
        <w:pStyle w:val="Compact"/>
        <w:numPr>
          <w:ilvl w:val="0"/>
          <w:numId w:val="1004"/>
        </w:numPr>
      </w:pPr>
      <w:r>
        <w:t xml:space="preserve">The comparable Duke Energy Progress process remains a key follow-up item.</w:t>
      </w:r>
    </w:p>
    <w:p>
      <w:pPr>
        <w:pStyle w:val="FirstParagraph"/>
      </w:pPr>
      <w:r>
        <w:rPr>
          <w:b/>
          <w:bCs/>
        </w:rPr>
        <w:t xml:space="preserve">What matters in 2Q:</w:t>
      </w:r>
      <w:r>
        <w:t xml:space="preserve"> </w:t>
      </w:r>
      <w:r>
        <w:t xml:space="preserve">Management should quantify the expected 2026 accounting impact, explain any implications for 2026 guidance, and provide a timeline for the DEP settlement discussions and large-load tariff proceeding.</w:t>
      </w:r>
    </w:p>
    <w:p>
      <w:r>
        <w:pict>
          <v:rect style="width:0;height:1.5pt" o:hralign="center" o:hrstd="t" o:hr="t"/>
        </w:pict>
      </w:r>
    </w:p>
    <w:bookmarkEnd w:id="17"/>
    <w:bookmarkEnd w:id="18"/>
    <w:bookmarkStart w:id="19" w:name="X63e2ea67223635c83d3ffef2449f8002fc64d7a"/>
    <w:p>
      <w:pPr>
        <w:pStyle w:val="Heading2"/>
      </w:pPr>
      <w:r>
        <w:t xml:space="preserve">Financing: materially improved, but capital intensity remains the governing constraint</w:t>
      </w:r>
    </w:p>
    <w:p>
      <w:pPr>
        <w:pStyle w:val="FirstParagraph"/>
      </w:pPr>
      <w:r>
        <w:t xml:space="preserve">Duke has taken tangible steps to fund its very large capital program:</w:t>
      </w:r>
    </w:p>
    <w:p>
      <w:pPr>
        <w:pStyle w:val="Compact"/>
        <w:numPr>
          <w:ilvl w:val="0"/>
          <w:numId w:val="1005"/>
        </w:numPr>
      </w:pPr>
      <w:r>
        <w:t xml:space="preserve">It closed the sale of Piedmont’s Tennessee gas business for roughly</w:t>
      </w:r>
      <w:r>
        <w:t xml:space="preserve"> </w:t>
      </w:r>
      <w:r>
        <w:rPr>
          <w:b/>
          <w:bCs/>
        </w:rPr>
        <w:t xml:space="preserve">$2.5 billion</w:t>
      </w:r>
      <w:r>
        <w:t xml:space="preserve">.</w:t>
      </w:r>
    </w:p>
    <w:p>
      <w:pPr>
        <w:pStyle w:val="Compact"/>
        <w:numPr>
          <w:ilvl w:val="0"/>
          <w:numId w:val="1005"/>
        </w:numPr>
      </w:pPr>
      <w:r>
        <w:t xml:space="preserve">It completed the first tranche of Brookfield’s minority investment in Duke Energy Florida, generating roughly</w:t>
      </w:r>
      <w:r>
        <w:t xml:space="preserve"> </w:t>
      </w:r>
      <w:r>
        <w:rPr>
          <w:b/>
          <w:bCs/>
        </w:rPr>
        <w:t xml:space="preserve">$2.8 billion</w:t>
      </w:r>
      <w:r>
        <w:t xml:space="preserve"> </w:t>
      </w:r>
      <w:r>
        <w:t xml:space="preserve">of cash proceeds.</w:t>
      </w:r>
    </w:p>
    <w:p>
      <w:pPr>
        <w:pStyle w:val="Compact"/>
        <w:numPr>
          <w:ilvl w:val="0"/>
          <w:numId w:val="1005"/>
        </w:numPr>
      </w:pPr>
      <w:r>
        <w:t xml:space="preserve">It issued</w:t>
      </w:r>
      <w:r>
        <w:t xml:space="preserve"> </w:t>
      </w:r>
      <w:r>
        <w:rPr>
          <w:b/>
          <w:bCs/>
        </w:rPr>
        <w:t xml:space="preserve">$1.5 billion of 3% convertible senior notes</w:t>
      </w:r>
      <w:r>
        <w:t xml:space="preserve"> </w:t>
      </w:r>
      <w:r>
        <w:t xml:space="preserve">and used its ATM program for forward equity issuance.</w:t>
      </w:r>
    </w:p>
    <w:p>
      <w:pPr>
        <w:pStyle w:val="Compact"/>
        <w:numPr>
          <w:ilvl w:val="0"/>
          <w:numId w:val="1005"/>
        </w:numPr>
      </w:pPr>
      <w:r>
        <w:t xml:space="preserve">Management has targeted</w:t>
      </w:r>
      <w:r>
        <w:t xml:space="preserve"> </w:t>
      </w:r>
      <w:r>
        <w:rPr>
          <w:b/>
          <w:bCs/>
        </w:rPr>
        <w:t xml:space="preserve">14.5% FFO-to-debt in 2026</w:t>
      </w:r>
      <w:r>
        <w:t xml:space="preserve"> </w:t>
      </w:r>
      <w:r>
        <w:t xml:space="preserve">and 15% over the long term.</w:t>
      </w:r>
    </w:p>
    <w:p>
      <w:pPr>
        <w:pStyle w:val="FirstParagraph"/>
      </w:pPr>
      <w:r>
        <w:t xml:space="preserve">The strategic transactions help fund the capital plan and reduce immediate balance-sheet pressure; however, they do not eliminate the need for disciplined future debt and equity financing. Investors should assess whether management remains on track with credit metrics and whether the financing plan has changed in light of interest rates, capex needs, or regulatory outcomes.</w:t>
      </w:r>
    </w:p>
    <w:p>
      <w:r>
        <w:pict>
          <v:rect style="width:0;height:1.5pt" o:hralign="center" o:hrstd="t" o:hr="t"/>
        </w:pict>
      </w:r>
    </w:p>
    <w:bookmarkEnd w:id="19"/>
    <w:bookmarkStart w:id="24" w:name="X2893e07fa4d9cad2d37f0d663d09e65dd175c1c"/>
    <w:p>
      <w:pPr>
        <w:pStyle w:val="Heading2"/>
      </w:pPr>
      <w:r>
        <w:t xml:space="preserve">Operational items that could move sentiment</w:t>
      </w:r>
    </w:p>
    <w:bookmarkStart w:id="20" w:name="Xebffb885ef5fa06c5e1cd130891bf2837db9a31"/>
    <w:p>
      <w:pPr>
        <w:pStyle w:val="Heading3"/>
      </w:pPr>
      <w:r>
        <w:t xml:space="preserve">1. O&amp;M normalization</w:t>
      </w:r>
    </w:p>
    <w:p>
      <w:pPr>
        <w:pStyle w:val="FirstParagraph"/>
      </w:pPr>
      <w:r>
        <w:t xml:space="preserve">The first quarter included elevated storm costs and other operating pressures. A clean 2Q cost result would reinforce management’s assertion that 1Q was timing-related and that full-year O&amp;M can remain flat.</w:t>
      </w:r>
    </w:p>
    <w:bookmarkEnd w:id="20"/>
    <w:bookmarkStart w:id="21" w:name="X520611f5249f191d01cd20a263b485c91b00ee0"/>
    <w:p>
      <w:pPr>
        <w:pStyle w:val="Heading3"/>
      </w:pPr>
      <w:r>
        <w:t xml:space="preserve">2. Capital execution</w:t>
      </w:r>
    </w:p>
    <w:p>
      <w:pPr>
        <w:pStyle w:val="FirstParagraph"/>
      </w:pPr>
      <w:r>
        <w:t xml:space="preserve">Duke’s long-term case requires timely buildout of grid infrastructure and dispatchable generation. Watch for project-cost, equipment-delivery, EPC-labor, and permitting commentary—especially around the Carolinas gas-generation program and Indiana’s Cayuga project.</w:t>
      </w:r>
    </w:p>
    <w:bookmarkEnd w:id="21"/>
    <w:bookmarkStart w:id="22" w:name="X1129c022de6a56ce09f4dd755cab7902b3e414c"/>
    <w:p>
      <w:pPr>
        <w:pStyle w:val="Heading3"/>
      </w:pPr>
      <w:r>
        <w:t xml:space="preserve">3. Nuclear fleet performance and tax-credit monetization</w:t>
      </w:r>
    </w:p>
    <w:p>
      <w:pPr>
        <w:pStyle w:val="FirstParagraph"/>
      </w:pPr>
      <w:r>
        <w:t xml:space="preserve">Duke’s nuclear fleet remains a material reliability, fuel-diversity, and customer-affordability asset. The company previously entered a multiyear arrangement to monetize up to $3.1 billion of tax credits through 2029. Investors should watch for confirmation that tax-credit treatment and customer flowback remain on plan.</w:t>
      </w:r>
    </w:p>
    <w:bookmarkEnd w:id="22"/>
    <w:bookmarkStart w:id="23" w:name="Xe0f052bb980bdfc9ff7442599208d6b83333f4d"/>
    <w:p>
      <w:pPr>
        <w:pStyle w:val="Heading3"/>
      </w:pPr>
      <w:r>
        <w:t xml:space="preserve">4. Weather-adjusted demand</w:t>
      </w:r>
    </w:p>
    <w:p>
      <w:pPr>
        <w:pStyle w:val="FirstParagraph"/>
      </w:pPr>
      <w:r>
        <w:t xml:space="preserve">Quarterly weather can obscure underlying trends. The better indicators are weather-normalized sales, customer additions, commercial demand, and any evidence that large-load construction is progressing from signed agreements toward actual consumption.</w:t>
      </w:r>
    </w:p>
    <w:p>
      <w:r>
        <w:pict>
          <v:rect style="width:0;height:1.5pt" o:hralign="center" o:hrstd="t" o:hr="t"/>
        </w:pict>
      </w:r>
    </w:p>
    <w:bookmarkEnd w:id="23"/>
    <w:bookmarkEnd w:id="24"/>
    <w:bookmarkStart w:id="26" w:name="trading--valuation-context"/>
    <w:p>
      <w:pPr>
        <w:pStyle w:val="Heading2"/>
      </w:pPr>
      <w:r>
        <w:t xml:space="preserve">Trading / valuation context</w:t>
      </w:r>
    </w:p>
    <w:p>
      <w:pPr>
        <w:pStyle w:val="FirstParagraph"/>
      </w:pPr>
      <w:r>
        <w:t xml:space="preserve">DUK closed at</w:t>
      </w:r>
      <w:r>
        <w:t xml:space="preserve"> </w:t>
      </w:r>
      <w:r>
        <w:rPr>
          <w:b/>
          <w:bCs/>
        </w:rPr>
        <w:t xml:space="preserve">$124.31 on August 3</w:t>
      </w:r>
      <w:r>
        <w:t xml:space="preserve">, down about</w:t>
      </w:r>
      <w:r>
        <w:t xml:space="preserve"> </w:t>
      </w:r>
      <w:r>
        <w:rPr>
          <w:b/>
          <w:bCs/>
        </w:rPr>
        <w:t xml:space="preserve">1.2% from July 1</w:t>
      </w:r>
      <w:r>
        <w:t xml:space="preserve"> </w:t>
      </w:r>
      <w:r>
        <w:t xml:space="preserve">and about</w:t>
      </w:r>
      <w:r>
        <w:t xml:space="preserve"> </w:t>
      </w:r>
      <w:r>
        <w:rPr>
          <w:b/>
          <w:bCs/>
        </w:rPr>
        <w:t xml:space="preserve">4.8% below its July 24 closing high of $130.52</w:t>
      </w:r>
      <w:r>
        <w:t xml:space="preserve">. That suggests the shares enter results without an obvious late-July momentum tailwind.</w:t>
      </w:r>
    </w:p>
    <w:p>
      <w:pPr>
        <w:pStyle w:val="BodyText"/>
      </w:pPr>
      <w:r>
        <w:t xml:space="preserve">The latest quarterly dividend was raised to</w:t>
      </w:r>
      <w:r>
        <w:t xml:space="preserve"> </w:t>
      </w:r>
      <m:oMath>
        <m:r>
          <m:t>1.085</m:t>
        </m:r>
        <m:r>
          <m:t>p</m:t>
        </m:r>
        <m:r>
          <m:t>e</m:t>
        </m:r>
        <m:r>
          <m:t>r</m:t>
        </m:r>
        <m:r>
          <m:t>s</m:t>
        </m:r>
        <m:r>
          <m:t>h</m:t>
        </m:r>
        <m:r>
          <m:t>a</m:t>
        </m:r>
        <m:r>
          <m:t>r</m:t>
        </m:r>
        <m:r>
          <m:t>e</m:t>
        </m:r>
        <m:r>
          <m:rPr>
            <m:sty m:val="p"/>
          </m:rPr>
          <m:t>*</m:t>
        </m:r>
        <m:r>
          <m:rPr>
            <m:sty m:val="p"/>
          </m:rPr>
          <m:t>*</m:t>
        </m:r>
        <m:r>
          <m:rPr>
            <m:sty m:val="p"/>
          </m:rPr>
          <m:t>,</m:t>
        </m:r>
        <m:r>
          <m:t>o</m:t>
        </m:r>
        <m:r>
          <m:t>r</m:t>
        </m:r>
        <m:r>
          <m:rPr>
            <m:sty m:val="p"/>
          </m:rPr>
          <m:t>*</m:t>
        </m:r>
        <m:r>
          <m:rPr>
            <m:sty m:val="p"/>
          </m:rPr>
          <m:t>*</m:t>
        </m:r>
      </m:oMath>
      <w:r>
        <w:rPr>
          <w:b/>
          <w:bCs/>
        </w:rPr>
        <w:t xml:space="preserve">4.34 annualized</w:t>
      </w:r>
      <w:r>
        <w:t xml:space="preserve">. At the August 3 closing price, that equates to an indicated yield of roughly</w:t>
      </w:r>
      <w:r>
        <w:t xml:space="preserve"> </w:t>
      </w:r>
      <w:r>
        <w:rPr>
          <w:b/>
          <w:bCs/>
        </w:rPr>
        <w:t xml:space="preserve">3.5%</w:t>
      </w:r>
      <w:r>
        <w:t xml:space="preserve">. (</w:t>
      </w:r>
      <w:hyperlink r:id="rId25">
        <w:r>
          <w:rPr>
            <w:rStyle w:val="Hyperlink"/>
          </w:rPr>
          <w:t xml:space="preserve">news.duke-energy.com</w:t>
        </w:r>
      </w:hyperlink>
      <w:r>
        <w:t xml:space="preserve">)</w:t>
      </w:r>
    </w:p>
    <w:p>
      <w:pPr>
        <w:pStyle w:val="BodyText"/>
      </w:pPr>
      <w:r>
        <w:t xml:space="preserve">For a utility, the post-earnings reaction will likely hinge less on the absolute EPS print and more on whether Duke strengthens or weakens its perceived combination of:</w:t>
      </w:r>
    </w:p>
    <w:p>
      <w:pPr>
        <w:pStyle w:val="Compact"/>
        <w:numPr>
          <w:ilvl w:val="0"/>
          <w:numId w:val="1006"/>
        </w:numPr>
      </w:pPr>
      <w:r>
        <w:t xml:space="preserve">regulated growth,</w:t>
      </w:r>
    </w:p>
    <w:p>
      <w:pPr>
        <w:pStyle w:val="Compact"/>
        <w:numPr>
          <w:ilvl w:val="0"/>
          <w:numId w:val="1006"/>
        </w:numPr>
      </w:pPr>
      <w:r>
        <w:t xml:space="preserve">balance-sheet discipline,</w:t>
      </w:r>
    </w:p>
    <w:p>
      <w:pPr>
        <w:pStyle w:val="Compact"/>
        <w:numPr>
          <w:ilvl w:val="0"/>
          <w:numId w:val="1006"/>
        </w:numPr>
      </w:pPr>
      <w:r>
        <w:t xml:space="preserve">rate-case visibility,</w:t>
      </w:r>
    </w:p>
    <w:p>
      <w:pPr>
        <w:pStyle w:val="Compact"/>
        <w:numPr>
          <w:ilvl w:val="0"/>
          <w:numId w:val="1006"/>
        </w:numPr>
      </w:pPr>
      <w:r>
        <w:t xml:space="preserve">affordability protection, and</w:t>
      </w:r>
    </w:p>
    <w:p>
      <w:pPr>
        <w:pStyle w:val="Compact"/>
        <w:numPr>
          <w:ilvl w:val="0"/>
          <w:numId w:val="1006"/>
        </w:numPr>
      </w:pPr>
      <w:r>
        <w:t xml:space="preserve">dividend dependability.</w:t>
      </w:r>
    </w:p>
    <w:p>
      <w:r>
        <w:pict>
          <v:rect style="width:0;height:1.5pt" o:hralign="center" o:hrstd="t" o:hr="t"/>
        </w:pict>
      </w:r>
    </w:p>
    <w:bookmarkEnd w:id="26"/>
    <w:bookmarkStart w:id="29" w:name="earnings-call-checklist"/>
    <w:p>
      <w:pPr>
        <w:pStyle w:val="Heading2"/>
      </w:pPr>
      <w:r>
        <w:t xml:space="preserve">Earnings-call checklist</w:t>
      </w:r>
    </w:p>
    <w:bookmarkStart w:id="27" w:name="bullish-read-through"/>
    <w:p>
      <w:pPr>
        <w:pStyle w:val="Heading3"/>
      </w:pPr>
      <w:r>
        <w:t xml:space="preserve">Bullish read-through</w:t>
      </w:r>
    </w:p>
    <w:p>
      <w:pPr>
        <w:pStyle w:val="Compact"/>
        <w:numPr>
          <w:ilvl w:val="0"/>
          <w:numId w:val="1007"/>
        </w:numPr>
      </w:pPr>
      <w:r>
        <w:t xml:space="preserve">2026 guidance reaffirmed with no caveats around O&amp;M, storms, or financing.</w:t>
      </w:r>
    </w:p>
    <w:p>
      <w:pPr>
        <w:pStyle w:val="Compact"/>
        <w:numPr>
          <w:ilvl w:val="0"/>
          <w:numId w:val="1007"/>
        </w:numPr>
      </w:pPr>
      <w:r>
        <w:t xml:space="preserve">New signed data-center ESAs and/or an improving late-stage pipeline.</w:t>
      </w:r>
    </w:p>
    <w:p>
      <w:pPr>
        <w:pStyle w:val="Compact"/>
        <w:numPr>
          <w:ilvl w:val="0"/>
          <w:numId w:val="1007"/>
        </w:numPr>
      </w:pPr>
      <w:r>
        <w:t xml:space="preserve">Strong evidence that large-load customer protections are accepted by regulators.</w:t>
      </w:r>
    </w:p>
    <w:p>
      <w:pPr>
        <w:pStyle w:val="Compact"/>
        <w:numPr>
          <w:ilvl w:val="0"/>
          <w:numId w:val="1007"/>
        </w:numPr>
      </w:pPr>
      <w:r>
        <w:t xml:space="preserve">Clear DEP settlement progress following the Duke Energy Carolinas agreement.</w:t>
      </w:r>
    </w:p>
    <w:p>
      <w:pPr>
        <w:pStyle w:val="Compact"/>
        <w:numPr>
          <w:ilvl w:val="0"/>
          <w:numId w:val="1007"/>
        </w:numPr>
      </w:pPr>
      <w:r>
        <w:t xml:space="preserve">No project-cost or schedule pressure in new generation and grid investments.</w:t>
      </w:r>
    </w:p>
    <w:p>
      <w:pPr>
        <w:pStyle w:val="Compact"/>
        <w:numPr>
          <w:ilvl w:val="0"/>
          <w:numId w:val="1007"/>
        </w:numPr>
      </w:pPr>
      <w:r>
        <w:t xml:space="preserve">Stable FFO-to-debt outlook and no incremental equity need beyond the disclosed plan.</w:t>
      </w:r>
    </w:p>
    <w:bookmarkEnd w:id="27"/>
    <w:bookmarkStart w:id="28" w:name="bearish-read-through"/>
    <w:p>
      <w:pPr>
        <w:pStyle w:val="Heading3"/>
      </w:pPr>
      <w:r>
        <w:t xml:space="preserve">Bearish read-through</w:t>
      </w:r>
    </w:p>
    <w:p>
      <w:pPr>
        <w:pStyle w:val="Compact"/>
        <w:numPr>
          <w:ilvl w:val="0"/>
          <w:numId w:val="1008"/>
        </w:numPr>
      </w:pPr>
      <w:r>
        <w:t xml:space="preserve">Guidance is narrowed downward or only reaffirmed with unusual caution.</w:t>
      </w:r>
    </w:p>
    <w:p>
      <w:pPr>
        <w:pStyle w:val="Compact"/>
        <w:numPr>
          <w:ilvl w:val="0"/>
          <w:numId w:val="1008"/>
        </w:numPr>
      </w:pPr>
      <w:r>
        <w:t xml:space="preserve">Storm/O&amp;M pressure is described as persistent rather than timing-related.</w:t>
      </w:r>
    </w:p>
    <w:p>
      <w:pPr>
        <w:pStyle w:val="Compact"/>
        <w:numPr>
          <w:ilvl w:val="0"/>
          <w:numId w:val="1008"/>
        </w:numPr>
      </w:pPr>
      <w:r>
        <w:t xml:space="preserve">Large-load projects face delays, permitting friction, or weaker customer commitments.</w:t>
      </w:r>
    </w:p>
    <w:p>
      <w:pPr>
        <w:pStyle w:val="Compact"/>
        <w:numPr>
          <w:ilvl w:val="0"/>
          <w:numId w:val="1008"/>
        </w:numPr>
      </w:pPr>
      <w:r>
        <w:t xml:space="preserve">Rate-case negotiations imply additional ROE, capital, or recovery concessions.</w:t>
      </w:r>
    </w:p>
    <w:p>
      <w:pPr>
        <w:pStyle w:val="Compact"/>
        <w:numPr>
          <w:ilvl w:val="0"/>
          <w:numId w:val="1008"/>
        </w:numPr>
      </w:pPr>
      <w:r>
        <w:t xml:space="preserve">Financing needs rise, credit metrics weaken, or equity issuance is accelerated.</w:t>
      </w:r>
    </w:p>
    <w:p>
      <w:pPr>
        <w:pStyle w:val="Compact"/>
        <w:numPr>
          <w:ilvl w:val="0"/>
          <w:numId w:val="1008"/>
        </w:numPr>
      </w:pPr>
      <w:r>
        <w:t xml:space="preserve">Management cannot reconcile accelerating load growth with a credible, affordable supply plan.</w:t>
      </w:r>
    </w:p>
    <w:p>
      <w:r>
        <w:pict>
          <v:rect style="width:0;height:1.5pt" o:hralign="center" o:hrstd="t" o:hr="t"/>
        </w:pict>
      </w:r>
    </w:p>
    <w:bookmarkEnd w:id="28"/>
    <w:bookmarkEnd w:id="29"/>
    <w:bookmarkStart w:id="30" w:name="conclusion"/>
    <w:p>
      <w:pPr>
        <w:pStyle w:val="Heading2"/>
      </w:pPr>
      <w:r>
        <w:t xml:space="preserve">Conclusion</w:t>
      </w:r>
    </w:p>
    <w:p>
      <w:pPr>
        <w:pStyle w:val="FirstParagraph"/>
      </w:pPr>
      <w:r>
        <w:t xml:space="preserve">Duke’s 2Q26 report should be viewed as a</w:t>
      </w:r>
      <w:r>
        <w:t xml:space="preserve"> </w:t>
      </w:r>
      <w:r>
        <w:rPr>
          <w:b/>
          <w:bCs/>
        </w:rPr>
        <w:t xml:space="preserve">strategy-validation event</w:t>
      </w:r>
      <w:r>
        <w:t xml:space="preserve">. The company has substantial structural growth opportunities, but the market needs proof that those opportunities can be translated into timely regulated investment and earnings while keeping bills affordable and credit metrics sound.</w:t>
      </w:r>
    </w:p>
    <w:p>
      <w:pPr>
        <w:pStyle w:val="BodyText"/>
      </w:pPr>
      <w:r>
        <w:t xml:space="preserve">A constructive outcome is not necessarily a large EPS beat. It is a report that</w:t>
      </w:r>
      <w:r>
        <w:t xml:space="preserve"> </w:t>
      </w:r>
      <w:r>
        <w:rPr>
          <w:b/>
          <w:bCs/>
        </w:rPr>
        <w:t xml:space="preserve">reaffirms 2026 guidance, restores confidence in O&amp;M control, advances the regulatory path, and adds specificity around the data-center-to-capex-to-earnings conversion cycle.</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https://news.duke-energy.com/releases/duke-energy-announces-dividend-payments-to-shareholders-6925932" TargetMode="External" /><Relationship Type="http://schemas.openxmlformats.org/officeDocument/2006/relationships/hyperlink" Id="rId16" Target="https://news.duke-energy.com/releases/duke-energy-carolinas-reaches-agreement-with-north-carolina-public-staff-and-other-stakeholders-to-deliver-a-lower-cost-path-to-power-north-carolinas-future" TargetMode="External" /><Relationship Type="http://schemas.openxmlformats.org/officeDocument/2006/relationships/hyperlink" Id="rId13" Target="https://news.duke-energy.com/releases/duke-energy-data-center-growth-will-deliver-billions-of-dollars-in-customer-savings" TargetMode="External" /><Relationship Type="http://schemas.openxmlformats.org/officeDocument/2006/relationships/hyperlink" Id="rId9" Target="https://news.duke-energy.com/releases/duke-energy-to-announce-second-quarter-2026-financial-results-on-aug-4" TargetMode="External" /></Relationships>
</file>

<file path=word/_rels/footnotes.xml.rels><?xml version="1.0" encoding="UTF-8"?><Relationships xmlns="http://schemas.openxmlformats.org/package/2006/relationships"><Relationship Type="http://schemas.openxmlformats.org/officeDocument/2006/relationships/hyperlink" Id="rId25" Target="https://news.duke-energy.com/releases/duke-energy-announces-dividend-payments-to-shareholders-6925932" TargetMode="External" /><Relationship Type="http://schemas.openxmlformats.org/officeDocument/2006/relationships/hyperlink" Id="rId16" Target="https://news.duke-energy.com/releases/duke-energy-carolinas-reaches-agreement-with-north-carolina-public-staff-and-other-stakeholders-to-deliver-a-lower-cost-path-to-power-north-carolinas-future" TargetMode="External" /><Relationship Type="http://schemas.openxmlformats.org/officeDocument/2006/relationships/hyperlink" Id="rId13" Target="https://news.duke-energy.com/releases/duke-energy-data-center-growth-will-deliver-billions-of-dollars-in-customer-savings" TargetMode="External" /><Relationship Type="http://schemas.openxmlformats.org/officeDocument/2006/relationships/hyperlink" Id="rId9" Target="https://news.duke-energy.com/releases/duke-energy-to-announce-second-quarter-2026-financial-results-on-aug-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2026-08-04T01:05:20Z</dcterms:created>
  <dcterms:modified xsi:type="dcterms:W3CDTF">2026-08-04T01:05:20Z</dcterms:modified>
</cp:coreProperties>
</file>

<file path=docProps/custom.xml><?xml version="1.0" encoding="utf-8"?>
<Properties xmlns="http://schemas.openxmlformats.org/officeDocument/2006/custom-properties" xmlns:vt="http://schemas.openxmlformats.org/officeDocument/2006/docPropsVTypes"/>
</file>