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Duke Energy Corporation (DUK)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Duke Energy Corporation</w:t>
            </w:r>
          </w:p>
        </w:tc>
      </w:tr>
      <w:tr>
        <w:tc>
          <w:tcPr>
            <w:tcW w:type="dxa" w:w="4320"/>
          </w:tcPr>
          <w:p>
            <w:r>
              <w:rPr>
                <w:rFonts w:ascii="Calibri" w:hAnsi="Calibri"/>
                <w:b/>
                <w:sz w:val="22"/>
              </w:rPr>
              <w:t>Ticker</w:t>
            </w:r>
          </w:p>
        </w:tc>
        <w:tc>
          <w:tcPr>
            <w:tcW w:type="dxa" w:w="4320"/>
          </w:tcPr>
          <w:p>
            <w:r>
              <w:rPr>
                <w:rFonts w:ascii="Calibri" w:hAnsi="Calibri"/>
                <w:sz w:val="22"/>
              </w:rPr>
              <w:t>DUK (NYSE)</w:t>
            </w:r>
          </w:p>
        </w:tc>
      </w:tr>
      <w:tr>
        <w:tc>
          <w:tcPr>
            <w:tcW w:type="dxa" w:w="4320"/>
          </w:tcPr>
          <w:p>
            <w:r>
              <w:rPr>
                <w:rFonts w:ascii="Calibri" w:hAnsi="Calibri"/>
                <w:b/>
                <w:sz w:val="22"/>
              </w:rPr>
              <w:t>Upcoming Earnings Date</w:t>
            </w:r>
          </w:p>
        </w:tc>
        <w:tc>
          <w:tcPr>
            <w:tcW w:type="dxa" w:w="4320"/>
          </w:tcPr>
          <w:p>
            <w:r>
              <w:rPr>
                <w:rFonts w:ascii="Calibri" w:hAnsi="Calibri"/>
                <w:sz w:val="22"/>
              </w:rPr>
              <w:t>August 4,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May 5, 2026 (Q1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manageable bar, the North Carolina rate settlement removes a key regulatory overhang, and the data center ESA pipeline continues to accelerate — but the stock has already given back its post-Q1 gains, suggesting the market is waiting for execution proof rather than pricing in upside.</w:t>
      </w:r>
    </w:p>
    <w:p>
      <w:r>
        <w:rPr>
          <w:rFonts w:ascii="Calibri" w:hAnsi="Calibri"/>
          <w:b/>
          <w:color w:val="525866"/>
          <w:sz w:val="22"/>
        </w:rPr>
        <w:t xml:space="preserve">Bar: </w:t>
      </w:r>
      <w:r>
        <w:rPr>
          <w:rFonts w:ascii="Calibri" w:hAnsi="Calibri"/>
          <w:color w:val="525866"/>
          <w:sz w:val="22"/>
        </w:rPr>
        <w:t xml:space="preserve">Consensus adjusted EPS for Q2 2026 stands at $1.31 (Visible Alpha), versus $1.25 actual in Q2 2025 — a modest ~5% YoY growth hurdle that reflects the typical seasonal trough quarter for DUK. The bar is not stretched; Q1 2026 came in at $1.93 vs. a $1.87 consensus, and management reaffirmed full-year 2026 guidance of $6.55–$6.85 (midpoint ~$6.70) on that call. </w:t>
      </w:r>
      <w:r>
        <w:rPr>
          <w:rFonts w:ascii="Calibri" w:hAnsi="Calibri"/>
          <w:b/>
          <w:color w:val="525866"/>
          <w:sz w:val="22"/>
        </w:rPr>
        <w:t>Estimate trajectory is essentially flat since Q1 earnings</w:t>
      </w:r>
      <w:r>
        <w:rPr>
          <w:rFonts w:ascii="Calibri" w:hAnsi="Calibri"/>
          <w:color w:val="525866"/>
          <w:sz w:val="22"/>
        </w:rPr>
        <w:t xml:space="preserve"> ($1.298 as of May 10 vs. $1.305 current), suggesting the street has not materially revised expectations up or down — a neutral setup.</w:t>
      </w:r>
    </w:p>
    <w:p>
      <w:r>
        <w:rPr>
          <w:rFonts w:ascii="Calibri" w:hAnsi="Calibri"/>
          <w:b/>
          <w:color w:val="525866"/>
          <w:sz w:val="22"/>
        </w:rPr>
        <w:t xml:space="preserve">Guidance/Tone: </w:t>
      </w:r>
      <w:r>
        <w:rPr>
          <w:rFonts w:ascii="Calibri" w:hAnsi="Calibri"/>
          <w:color w:val="525866"/>
          <w:sz w:val="22"/>
        </w:rPr>
        <w:t xml:space="preserve">Management's posture has been consistently confident since the Q1 2026 call. The landmark July 17 comprehensive rate settlement for Duke Energy Carolinas (DEC) — securing a 9.8% ROE on a 53% equity ratio and ~$3.8B of multi-year rate plan capital — is the most significant post-earnings development and removes the single largest regulatory uncertainty heading into the print. The partial settlement on July 2 (with a ~$10M pre-tax charge to Q2) was already telegraphed and is expected to be excluded from adjusted EPS. </w:t>
      </w:r>
    </w:p>
    <w:p>
      <w:r>
        <w:rPr>
          <w:rFonts w:ascii="Calibri" w:hAnsi="Calibri"/>
          <w:b/>
          <w:color w:val="525866"/>
          <w:sz w:val="22"/>
        </w:rPr>
        <w:t xml:space="preserve">Estimate Trajectory: </w:t>
      </w:r>
      <w:r>
        <w:rPr>
          <w:rFonts w:ascii="Calibri" w:hAnsi="Calibri"/>
          <w:color w:val="525866"/>
          <w:sz w:val="22"/>
        </w:rPr>
        <w:t>Full-year 2026 consensus EPS has edged up slightly from $6.74 (as of May 10) to $6.71 currently — essentially unchanged — while FY2027 consensus sits at $7.18, implying ~7% growth. CapEx estimates for Q2 2026 have moved up modestly ($4.32B → $4.45B), consistent with the accelerating $103B capital plan. The gap between consensus and guidance is tight, offering limited cushion but also limited downside risk from estimate drift.</w:t>
      </w:r>
    </w:p>
    <w:p>
      <w:r>
        <w:rPr>
          <w:rFonts w:ascii="Calibri" w:hAnsi="Calibri"/>
          <w:b/>
          <w:color w:val="525866"/>
          <w:sz w:val="22"/>
        </w:rPr>
        <w:t xml:space="preserve">Stock Setup: </w:t>
      </w:r>
      <w:r>
        <w:rPr>
          <w:rFonts w:ascii="Calibri" w:hAnsi="Calibri"/>
          <w:color w:val="525866"/>
          <w:sz w:val="22"/>
        </w:rPr>
        <w:t>DUK has underperformed both XLU (−2.6% vs. −4.3% for XLU) and the S&amp;P 500 (+4.7%) since the Q1 2026 earnings date, with the stock down ~2.6% on an indexed basis. The stock trades at roughly 19–20x NTM EPS — a modest premium to the utility peer group — reflecting the data center growth optionality but not pricing in a meaningful beat. The setup is neither stretched nor deeply discounted.</w:t>
      </w:r>
    </w:p>
    <w:p>
      <w:r>
        <w:rPr>
          <w:rFonts w:ascii="Calibri" w:hAnsi="Calibri"/>
          <w:b/>
          <w:color w:val="525866"/>
          <w:sz w:val="22"/>
        </w:rPr>
        <w:t xml:space="preserve">Wildcard: </w:t>
      </w:r>
      <w:r>
        <w:rPr>
          <w:rFonts w:ascii="Calibri" w:hAnsi="Calibri"/>
          <w:color w:val="525866"/>
          <w:sz w:val="22"/>
        </w:rPr>
        <w:t>The pace of new ESA signings in Q2 2026 is the single biggest swing factor. Q1 2026 saw 2.7 GW signed in a single quarter — the fastest pace ever. If management announces another 2+ GW quarter, it would validate the acceleration thesis and likely drive a positive re-rating. Conversely, a slowdown in signings or any negative commentary on the North Carolina DEP rate case (which still needs a settlement) could weigh on the stock despite an in-line EPS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for Q2 2026 — adjusted EPS of $1.31 implies modest YoY growth in DUK’s seasonally weakest quarter. The bigger swing factor is the ESA signing cadence and any update on the DEP rate case, not the EPS number itself.</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(Operating)</w:t>
            </w:r>
          </w:p>
        </w:tc>
        <w:tc>
          <w:tcPr>
            <w:tcW w:type="dxa" w:w="1234"/>
          </w:tcPr>
          <w:p>
            <w:r>
              <w:rPr>
                <w:rFonts w:ascii="Calibri" w:hAnsi="Calibri"/>
                <w:sz w:val="22"/>
              </w:rPr>
              <w:t>$1.93</w:t>
            </w:r>
          </w:p>
        </w:tc>
        <w:tc>
          <w:tcPr>
            <w:tcW w:type="dxa" w:w="1234"/>
          </w:tcPr>
          <w:p>
            <w:r>
              <w:rPr>
                <w:rFonts w:ascii="Calibri" w:hAnsi="Calibri"/>
                <w:sz w:val="22"/>
              </w:rPr>
              <w:t>$1.25</w:t>
            </w:r>
          </w:p>
        </w:tc>
        <w:tc>
          <w:tcPr>
            <w:tcW w:type="dxa" w:w="1234"/>
          </w:tcPr>
          <w:p>
            <w:r>
              <w:rPr>
                <w:rFonts w:ascii="Calibri" w:hAnsi="Calibri"/>
                <w:sz w:val="22"/>
              </w:rPr>
              <w:t>$1.31</w:t>
            </w:r>
          </w:p>
        </w:tc>
        <w:tc>
          <w:tcPr>
            <w:tcW w:type="dxa" w:w="1234"/>
          </w:tcPr>
          <w:p>
            <w:r>
              <w:rPr>
                <w:rFonts w:ascii="Calibri" w:hAnsi="Calibri"/>
                <w:sz w:val="22"/>
              </w:rPr>
              <w:t>+4.8%</w:t>
            </w:r>
          </w:p>
        </w:tc>
        <w:tc>
          <w:tcPr>
            <w:tcW w:type="dxa" w:w="1234"/>
          </w:tcPr>
          <w:p>
            <w:r>
              <w:rPr>
                <w:rFonts w:ascii="Calibri" w:hAnsi="Calibri"/>
                <w:sz w:val="22"/>
              </w:rPr>
              <w:t>$6.55–$6.85 ($6.70 mid)</w:t>
            </w:r>
          </w:p>
        </w:tc>
        <w:tc>
          <w:tcPr>
            <w:tcW w:type="dxa" w:w="1234"/>
          </w:tcPr>
          <w:p>
            <w:r>
              <w:rPr>
                <w:rFonts w:ascii="Calibri" w:hAnsi="Calibri"/>
                <w:sz w:val="22"/>
              </w:rPr>
              <w:t>+0.2% vs. mid</w:t>
            </w:r>
          </w:p>
        </w:tc>
      </w:tr>
      <w:tr>
        <w:tc>
          <w:tcPr>
            <w:tcW w:type="dxa" w:w="1234"/>
          </w:tcPr>
          <w:p>
            <w:r>
              <w:rPr>
                <w:rFonts w:ascii="Calibri" w:hAnsi="Calibri"/>
                <w:sz w:val="22"/>
              </w:rPr>
              <w:t>Total Operating Revenues</w:t>
            </w:r>
          </w:p>
        </w:tc>
        <w:tc>
          <w:tcPr>
            <w:tcW w:type="dxa" w:w="1234"/>
          </w:tcPr>
          <w:p>
            <w:r>
              <w:rPr>
                <w:rFonts w:ascii="Calibri" w:hAnsi="Calibri"/>
                <w:sz w:val="22"/>
              </w:rPr>
              <w:t>$9.18B</w:t>
            </w:r>
          </w:p>
        </w:tc>
        <w:tc>
          <w:tcPr>
            <w:tcW w:type="dxa" w:w="1234"/>
          </w:tcPr>
          <w:p>
            <w:r>
              <w:rPr>
                <w:rFonts w:ascii="Calibri" w:hAnsi="Calibri"/>
                <w:sz w:val="22"/>
              </w:rPr>
              <w:t>$7.51B</w:t>
            </w:r>
          </w:p>
        </w:tc>
        <w:tc>
          <w:tcPr>
            <w:tcW w:type="dxa" w:w="1234"/>
          </w:tcPr>
          <w:p>
            <w:r>
              <w:rPr>
                <w:rFonts w:ascii="Calibri" w:hAnsi="Calibri"/>
                <w:sz w:val="22"/>
              </w:rPr>
              <w:t>$7.78B</w:t>
            </w:r>
          </w:p>
        </w:tc>
        <w:tc>
          <w:tcPr>
            <w:tcW w:type="dxa" w:w="1234"/>
          </w:tcPr>
          <w:p>
            <w:r>
              <w:rPr>
                <w:rFonts w:ascii="Calibri" w:hAnsi="Calibri"/>
                <w:sz w:val="22"/>
              </w:rPr>
              <w:t>+3.6%</w:t>
            </w:r>
          </w:p>
        </w:tc>
        <w:tc>
          <w:tcPr>
            <w:tcW w:type="dxa" w:w="1234"/>
          </w:tcPr>
          <w:p>
            <w:r>
              <w:rPr>
                <w:rFonts w:ascii="Calibri" w:hAnsi="Calibri"/>
                <w:sz w:val="22"/>
              </w:rPr>
              <w:t>~$33.6B FY (consensus)</w:t>
            </w:r>
          </w:p>
        </w:tc>
        <w:tc>
          <w:tcPr>
            <w:tcW w:type="dxa" w:w="1234"/>
          </w:tcPr>
          <w:p>
            <w:r>
              <w:rPr>
                <w:rFonts w:ascii="Calibri" w:hAnsi="Calibri"/>
                <w:sz w:val="22"/>
              </w:rPr>
              <w:t>N/A — no revenue guidance</w:t>
            </w:r>
          </w:p>
        </w:tc>
      </w:tr>
      <w:tr>
        <w:tc>
          <w:tcPr>
            <w:tcW w:type="dxa" w:w="1234"/>
          </w:tcPr>
          <w:p>
            <w:r>
              <w:rPr>
                <w:rFonts w:ascii="Calibri" w:hAnsi="Calibri"/>
                <w:sz w:val="22"/>
              </w:rPr>
              <w:t>Capital Expenditures</w:t>
            </w:r>
          </w:p>
        </w:tc>
        <w:tc>
          <w:tcPr>
            <w:tcW w:type="dxa" w:w="1234"/>
          </w:tcPr>
          <w:p>
            <w:r>
              <w:rPr>
                <w:rFonts w:ascii="Calibri" w:hAnsi="Calibri"/>
                <w:sz w:val="22"/>
              </w:rPr>
              <w:t>$4.09B</w:t>
            </w:r>
          </w:p>
        </w:tc>
        <w:tc>
          <w:tcPr>
            <w:tcW w:type="dxa" w:w="1234"/>
          </w:tcPr>
          <w:p>
            <w:r>
              <w:rPr>
                <w:rFonts w:ascii="Calibri" w:hAnsi="Calibri"/>
                <w:sz w:val="22"/>
              </w:rPr>
              <w:t>$3.28B</w:t>
            </w:r>
          </w:p>
        </w:tc>
        <w:tc>
          <w:tcPr>
            <w:tcW w:type="dxa" w:w="1234"/>
          </w:tcPr>
          <w:p>
            <w:r>
              <w:rPr>
                <w:rFonts w:ascii="Calibri" w:hAnsi="Calibri"/>
                <w:sz w:val="22"/>
              </w:rPr>
              <w:t>$4.45B</w:t>
            </w:r>
          </w:p>
        </w:tc>
        <w:tc>
          <w:tcPr>
            <w:tcW w:type="dxa" w:w="1234"/>
          </w:tcPr>
          <w:p>
            <w:r>
              <w:rPr>
                <w:rFonts w:ascii="Calibri" w:hAnsi="Calibri"/>
                <w:sz w:val="22"/>
              </w:rPr>
              <w:t>+35.7%</w:t>
            </w:r>
          </w:p>
        </w:tc>
        <w:tc>
          <w:tcPr>
            <w:tcW w:type="dxa" w:w="1234"/>
          </w:tcPr>
          <w:p>
            <w:r>
              <w:rPr>
                <w:rFonts w:ascii="Calibri" w:hAnsi="Calibri"/>
                <w:sz w:val="22"/>
              </w:rPr>
              <w:t>~$17.7B FY (consensus)</w:t>
            </w:r>
          </w:p>
        </w:tc>
        <w:tc>
          <w:tcPr>
            <w:tcW w:type="dxa" w:w="1234"/>
          </w:tcPr>
          <w:p>
            <w:r>
              <w:rPr>
                <w:rFonts w:ascii="Calibri" w:hAnsi="Calibri"/>
                <w:sz w:val="22"/>
              </w:rPr>
              <w:t>N/A — no quarterly CapEx guidance</w:t>
            </w:r>
          </w:p>
        </w:tc>
      </w:tr>
      <w:tr>
        <w:tc>
          <w:tcPr>
            <w:tcW w:type="dxa" w:w="1234"/>
          </w:tcPr>
          <w:p>
            <w:r>
              <w:rPr>
                <w:rFonts w:ascii="Calibri" w:hAnsi="Calibri"/>
                <w:sz w:val="22"/>
              </w:rPr>
              <w:t>FFO / Total Debt</w:t>
            </w:r>
          </w:p>
        </w:tc>
        <w:tc>
          <w:tcPr>
            <w:tcW w:type="dxa" w:w="1234"/>
          </w:tcPr>
          <w:p>
            <w:r>
              <w:rPr>
                <w:rFonts w:ascii="Calibri" w:hAnsi="Calibri"/>
                <w:sz w:val="22"/>
              </w:rPr>
              <w:t>14.5% (Q1 2026 LTM)</w:t>
            </w:r>
          </w:p>
        </w:tc>
        <w:tc>
          <w:tcPr>
            <w:tcW w:type="dxa" w:w="1234"/>
          </w:tcPr>
          <w:p>
            <w:r>
              <w:rPr>
                <w:rFonts w:ascii="Calibri" w:hAnsi="Calibri"/>
                <w:sz w:val="22"/>
              </w:rPr>
              <w:t>14.1% (Q2 2025 LTM)</w:t>
            </w:r>
          </w:p>
        </w:tc>
        <w:tc>
          <w:tcPr>
            <w:tcW w:type="dxa" w:w="1234"/>
          </w:tcPr>
          <w:p>
            <w:r>
              <w:rPr>
                <w:rFonts w:ascii="Calibri" w:hAnsi="Calibri"/>
                <w:sz w:val="22"/>
              </w:rPr>
              <w:t>~13.8% (Q2 2026 consensus)</w:t>
            </w:r>
          </w:p>
        </w:tc>
        <w:tc>
          <w:tcPr>
            <w:tcW w:type="dxa" w:w="1234"/>
          </w:tcPr>
          <w:p>
            <w:r>
              <w:rPr>
                <w:rFonts w:ascii="Calibri" w:hAnsi="Calibri"/>
                <w:sz w:val="22"/>
              </w:rPr>
              <w:t>−30 bps YoY</w:t>
            </w:r>
          </w:p>
        </w:tc>
        <w:tc>
          <w:tcPr>
            <w:tcW w:type="dxa" w:w="1234"/>
          </w:tcPr>
          <w:p>
            <w:r>
              <w:rPr>
                <w:rFonts w:ascii="Calibri" w:hAnsi="Calibri"/>
                <w:sz w:val="22"/>
              </w:rPr>
              <w:t>~14.5% for FY2026; 15% long-term</w:t>
            </w:r>
          </w:p>
        </w:tc>
        <w:tc>
          <w:tcPr>
            <w:tcW w:type="dxa" w:w="1234"/>
          </w:tcPr>
          <w:p>
            <w:r>
              <w:rPr>
                <w:rFonts w:ascii="Calibri" w:hAnsi="Calibri"/>
                <w:sz w:val="22"/>
              </w:rPr>
              <w:t>−47 bps below FY target</w:t>
            </w:r>
          </w:p>
        </w:tc>
      </w:tr>
    </w:tbl>
    <w:p>
      <w:r>
        <w:rPr>
          <w:rFonts w:ascii="Calibri" w:hAnsi="Calibri"/>
          <w:i/>
          <w:color w:val="525866"/>
          <w:sz w:val="22"/>
        </w:rPr>
        <w:t>Source: Visible Alpha Consensus and Actuals Data. Q2 2026 consensus as of August 3, 2026. FY2026 guidance per Q1 2026 earnings call (May 5, 2026). FFO/Total Debt Q2 2026 consensus reflects latest available estimate.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Adjusted EPS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$1.93</w:t>
            </w:r>
          </w:p>
        </w:tc>
        <w:tc>
          <w:tcPr>
            <w:tcW w:type="dxa" w:w="1728"/>
          </w:tcPr>
          <w:p>
            <w:r>
              <w:rPr>
                <w:rFonts w:ascii="Calibri" w:hAnsi="Calibri"/>
                <w:sz w:val="22"/>
              </w:rPr>
              <w:t>$1.87</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$1.50</w:t>
            </w:r>
          </w:p>
        </w:tc>
        <w:tc>
          <w:tcPr>
            <w:tcW w:type="dxa" w:w="1728"/>
          </w:tcPr>
          <w:p>
            <w:r>
              <w:rPr>
                <w:rFonts w:ascii="Calibri" w:hAnsi="Calibri"/>
                <w:sz w:val="22"/>
              </w:rPr>
              <w:t>$1.53</w:t>
            </w:r>
          </w:p>
        </w:tc>
        <w:tc>
          <w:tcPr>
            <w:tcW w:type="dxa" w:w="1728"/>
          </w:tcPr>
          <w:p>
            <w:r>
              <w:rPr>
                <w:rFonts w:ascii="Calibri" w:hAnsi="Calibri"/>
                <w:b/>
                <w:color w:val="E5484D"/>
                <w:sz w:val="22"/>
              </w:rPr>
              <w:t>−2.0%</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$1.81</w:t>
            </w:r>
          </w:p>
        </w:tc>
        <w:tc>
          <w:tcPr>
            <w:tcW w:type="dxa" w:w="1728"/>
          </w:tcPr>
          <w:p>
            <w:r>
              <w:rPr>
                <w:rFonts w:ascii="Calibri" w:hAnsi="Calibri"/>
                <w:sz w:val="22"/>
              </w:rPr>
              <w:t>$1.75</w:t>
            </w:r>
          </w:p>
        </w:tc>
        <w:tc>
          <w:tcPr>
            <w:tcW w:type="dxa" w:w="1728"/>
          </w:tcPr>
          <w:p>
            <w:r>
              <w:rPr>
                <w:rFonts w:ascii="Calibri" w:hAnsi="Calibri"/>
                <w:b/>
                <w:color w:val="30A46C"/>
                <w:sz w:val="22"/>
              </w:rPr>
              <w:t>+3.4%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$1.76</w:t>
            </w:r>
          </w:p>
        </w:tc>
        <w:tc>
          <w:tcPr>
            <w:tcW w:type="dxa" w:w="1728"/>
          </w:tcPr>
          <w:p>
            <w:r>
              <w:rPr>
                <w:rFonts w:ascii="Calibri" w:hAnsi="Calibri"/>
                <w:sz w:val="22"/>
              </w:rPr>
              <w:t>$1.59</w:t>
            </w:r>
          </w:p>
        </w:tc>
        <w:tc>
          <w:tcPr>
            <w:tcW w:type="dxa" w:w="1728"/>
          </w:tcPr>
          <w:p>
            <w:r>
              <w:rPr>
                <w:rFonts w:ascii="Calibri" w:hAnsi="Calibri"/>
                <w:b/>
                <w:color w:val="30A46C"/>
                <w:sz w:val="22"/>
              </w:rPr>
              <w:t>+10.7%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$1.66</w:t>
            </w:r>
          </w:p>
        </w:tc>
        <w:tc>
          <w:tcPr>
            <w:tcW w:type="dxa" w:w="1728"/>
          </w:tcPr>
          <w:p>
            <w:r>
              <w:rPr>
                <w:rFonts w:ascii="Calibri" w:hAnsi="Calibri"/>
                <w:sz w:val="22"/>
              </w:rPr>
              <w:t>$1.64</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$1.62</w:t>
            </w:r>
          </w:p>
        </w:tc>
        <w:tc>
          <w:tcPr>
            <w:tcW w:type="dxa" w:w="1728"/>
          </w:tcPr>
          <w:p>
            <w:r>
              <w:rPr>
                <w:rFonts w:ascii="Calibri" w:hAnsi="Calibri"/>
                <w:sz w:val="22"/>
              </w:rPr>
              <w:t>$1.72</w:t>
            </w:r>
          </w:p>
        </w:tc>
        <w:tc>
          <w:tcPr>
            <w:tcW w:type="dxa" w:w="1728"/>
          </w:tcPr>
          <w:p>
            <w:r>
              <w:rPr>
                <w:rFonts w:ascii="Calibri" w:hAnsi="Calibri"/>
                <w:b/>
                <w:color w:val="E5484D"/>
                <w:sz w:val="22"/>
              </w:rPr>
              <w:t>−5.8%</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$1.18</w:t>
            </w:r>
          </w:p>
        </w:tc>
        <w:tc>
          <w:tcPr>
            <w:tcW w:type="dxa" w:w="1728"/>
          </w:tcPr>
          <w:p>
            <w:r>
              <w:rPr>
                <w:rFonts w:ascii="Calibri" w:hAnsi="Calibri"/>
                <w:sz w:val="22"/>
              </w:rPr>
              <w:t>$1.02</w:t>
            </w:r>
          </w:p>
        </w:tc>
        <w:tc>
          <w:tcPr>
            <w:tcW w:type="dxa" w:w="1728"/>
          </w:tcPr>
          <w:p>
            <w:r>
              <w:rPr>
                <w:rFonts w:ascii="Calibri" w:hAnsi="Calibri"/>
                <w:b/>
                <w:color w:val="30A46C"/>
                <w:sz w:val="22"/>
              </w:rPr>
              <w:t>+15.7%</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DUK has beaten adjusted EPS consensus in 6 of the last 8 quarters, with the two misses (Q3 2024, Q4 2025) driven by weather and timing items rather than structural underperformance. The beat rate is strong, though the magnitude of beats has moderated in recent quarters.</w:t>
      </w:r>
    </w:p>
    <w:p>
      <w:pPr>
        <w:pStyle w:val="Heading4"/>
      </w:pPr>
      <w:r>
        <w:rPr>
          <w:rFonts w:ascii="Calibri" w:hAnsi="Calibri"/>
          <w:b/>
          <w:color w:val="3B4259"/>
          <w:sz w:val="22"/>
        </w:rPr>
        <w:t>Total Operating Revenues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$9.18B</w:t>
            </w:r>
          </w:p>
        </w:tc>
        <w:tc>
          <w:tcPr>
            <w:tcW w:type="dxa" w:w="1728"/>
          </w:tcPr>
          <w:p>
            <w:r>
              <w:rPr>
                <w:rFonts w:ascii="Calibri" w:hAnsi="Calibri"/>
                <w:sz w:val="22"/>
              </w:rPr>
              <w:t>$8.44B</w:t>
            </w:r>
          </w:p>
        </w:tc>
        <w:tc>
          <w:tcPr>
            <w:tcW w:type="dxa" w:w="1728"/>
          </w:tcPr>
          <w:p>
            <w:r>
              <w:rPr>
                <w:rFonts w:ascii="Calibri" w:hAnsi="Calibri"/>
                <w:b/>
                <w:color w:val="30A46C"/>
                <w:sz w:val="22"/>
              </w:rPr>
              <w:t>+8.8%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$7.94B</w:t>
            </w:r>
          </w:p>
        </w:tc>
        <w:tc>
          <w:tcPr>
            <w:tcW w:type="dxa" w:w="1728"/>
          </w:tcPr>
          <w:p>
            <w:r>
              <w:rPr>
                <w:rFonts w:ascii="Calibri" w:hAnsi="Calibri"/>
                <w:sz w:val="22"/>
              </w:rPr>
              <w:t>$7.52B</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$8.54B</w:t>
            </w:r>
          </w:p>
        </w:tc>
        <w:tc>
          <w:tcPr>
            <w:tcW w:type="dxa" w:w="1728"/>
          </w:tcPr>
          <w:p>
            <w:r>
              <w:rPr>
                <w:rFonts w:ascii="Calibri" w:hAnsi="Calibri"/>
                <w:sz w:val="22"/>
              </w:rPr>
              <w:t>$8.45B</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$7.51B</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$8.25B</w:t>
            </w:r>
          </w:p>
        </w:tc>
        <w:tc>
          <w:tcPr>
            <w:tcW w:type="dxa" w:w="1728"/>
          </w:tcPr>
          <w:p>
            <w:r>
              <w:rPr>
                <w:rFonts w:ascii="Calibri" w:hAnsi="Calibri"/>
                <w:sz w:val="22"/>
              </w:rPr>
              <w:t>$7.96B</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$7.36B</w:t>
            </w:r>
          </w:p>
        </w:tc>
        <w:tc>
          <w:tcPr>
            <w:tcW w:type="dxa" w:w="1728"/>
          </w:tcPr>
          <w:p>
            <w:r>
              <w:rPr>
                <w:rFonts w:ascii="Calibri" w:hAnsi="Calibri"/>
                <w:sz w:val="22"/>
              </w:rPr>
              <w:t>$7.53B</w:t>
            </w:r>
          </w:p>
        </w:tc>
        <w:tc>
          <w:tcPr>
            <w:tcW w:type="dxa" w:w="1728"/>
          </w:tcPr>
          <w:p>
            <w:r>
              <w:rPr>
                <w:rFonts w:ascii="Calibri" w:hAnsi="Calibri"/>
                <w:b/>
                <w:color w:val="E5484D"/>
                <w:sz w:val="22"/>
              </w:rPr>
              <w:t>−2.3%</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$8.15B</w:t>
            </w:r>
          </w:p>
        </w:tc>
        <w:tc>
          <w:tcPr>
            <w:tcW w:type="dxa" w:w="1728"/>
          </w:tcPr>
          <w:p>
            <w:r>
              <w:rPr>
                <w:rFonts w:ascii="Calibri" w:hAnsi="Calibri"/>
                <w:sz w:val="22"/>
              </w:rPr>
              <w:t>$8.03B</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$7.17B</w:t>
            </w:r>
          </w:p>
        </w:tc>
        <w:tc>
          <w:tcPr>
            <w:tcW w:type="dxa" w:w="1728"/>
          </w:tcPr>
          <w:p>
            <w:r>
              <w:rPr>
                <w:rFonts w:ascii="Calibri" w:hAnsi="Calibri"/>
                <w:sz w:val="22"/>
              </w:rPr>
              <w:t>$6.68B</w:t>
            </w:r>
          </w:p>
        </w:tc>
        <w:tc>
          <w:tcPr>
            <w:tcW w:type="dxa" w:w="1728"/>
          </w:tcPr>
          <w:p>
            <w:r>
              <w:rPr>
                <w:rFonts w:ascii="Calibri" w:hAnsi="Calibri"/>
                <w:b/>
                <w:color w:val="30A46C"/>
                <w:sz w:val="22"/>
              </w:rPr>
              <w:t>+7.3%</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DUK has beaten revenue consensus in 6 of the last 8 quarters, with particularly large beats in Q1 2026 (+8.8%) and Q2 2024 (+7.3%). Revenue beats have been consistent and often larger in magnitude than EPS beats, reflecting the growing rate base and load growth tailwinds.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but the July 17 comprehensive rate settlement for Duke Energy Carolinas is a material post-earnings development that de-risks the regulatory outlook and supports the upper half of the FY2026 EPS range.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EPS</w:t>
            </w:r>
          </w:p>
        </w:tc>
        <w:tc>
          <w:tcPr>
            <w:tcW w:type="dxa" w:w="1728"/>
          </w:tcPr>
          <w:p>
            <w:r>
              <w:rPr>
                <w:rFonts w:ascii="Calibri" w:hAnsi="Calibri"/>
                <w:sz w:val="22"/>
              </w:rPr>
              <w:t>$6.55–$6.85 (mid: $6.70); confident in top half of 5–7% long-term growth range beginning 2028</w:t>
            </w:r>
          </w:p>
        </w:tc>
        <w:tc>
          <w:tcPr>
            <w:tcW w:type="dxa" w:w="1728"/>
          </w:tcPr>
          <w:p>
            <w:r>
              <w:rPr>
                <w:rFonts w:ascii="Calibri" w:hAnsi="Calibri"/>
                <w:sz w:val="22"/>
              </w:rPr>
              <w:t>—</w:t>
            </w:r>
          </w:p>
        </w:tc>
        <w:tc>
          <w:tcPr>
            <w:tcW w:type="dxa" w:w="1728"/>
          </w:tcPr>
          <w:p>
            <w:r>
              <w:rPr>
                <w:rFonts w:ascii="Calibri" w:hAnsi="Calibri"/>
                <w:sz w:val="22"/>
              </w:rPr>
              <w:t>$6.71</w:t>
            </w:r>
          </w:p>
        </w:tc>
        <w:tc>
          <w:tcPr>
            <w:tcW w:type="dxa" w:w="1728"/>
          </w:tcPr>
          <w:p>
            <w:r>
              <w:rPr>
                <w:rFonts w:ascii="Calibri" w:hAnsi="Calibri"/>
                <w:sz w:val="22"/>
              </w:rPr>
              <w:t>Guidance unchanged; consensus sits just above midpoint. No post-earnings revision.</w:t>
            </w:r>
          </w:p>
        </w:tc>
      </w:tr>
      <w:tr>
        <w:tc>
          <w:tcPr>
            <w:tcW w:type="dxa" w:w="1728"/>
          </w:tcPr>
          <w:p>
            <w:r>
              <w:rPr>
                <w:rFonts w:ascii="Calibri" w:hAnsi="Calibri"/>
                <w:sz w:val="22"/>
              </w:rPr>
              <w:t>Long-Term EPS Growth</w:t>
            </w:r>
          </w:p>
        </w:tc>
        <w:tc>
          <w:tcPr>
            <w:tcW w:type="dxa" w:w="1728"/>
          </w:tcPr>
          <w:p>
            <w:r>
              <w:rPr>
                <w:rFonts w:ascii="Calibri" w:hAnsi="Calibri"/>
                <w:sz w:val="22"/>
              </w:rPr>
              <w:t>5–7% through 2029; top half of range beginning 2028</w:t>
            </w:r>
          </w:p>
        </w:tc>
        <w:tc>
          <w:tcPr>
            <w:tcW w:type="dxa" w:w="1728"/>
          </w:tcPr>
          <w:p>
            <w:r>
              <w:rPr>
                <w:rFonts w:ascii="Calibri" w:hAnsi="Calibri"/>
                <w:sz w:val="22"/>
              </w:rPr>
              <w:t>—</w:t>
            </w:r>
          </w:p>
        </w:tc>
        <w:tc>
          <w:tcPr>
            <w:tcW w:type="dxa" w:w="1728"/>
          </w:tcPr>
          <w:p>
            <w:r>
              <w:rPr>
                <w:rFonts w:ascii="Calibri" w:hAnsi="Calibri"/>
                <w:sz w:val="22"/>
              </w:rPr>
              <w:t>~7% implied by FY2027 consensus ($7.18)</w:t>
            </w:r>
          </w:p>
        </w:tc>
        <w:tc>
          <w:tcPr>
            <w:tcW w:type="dxa" w:w="1728"/>
          </w:tcPr>
          <w:p>
            <w:r>
              <w:rPr>
                <w:rFonts w:ascii="Calibri" w:hAnsi="Calibri"/>
                <w:sz w:val="22"/>
              </w:rPr>
              <w:t>Unchanged. Consensus tracking toward top half of range.</w:t>
            </w:r>
          </w:p>
        </w:tc>
      </w:tr>
      <w:tr>
        <w:tc>
          <w:tcPr>
            <w:tcW w:type="dxa" w:w="1728"/>
          </w:tcPr>
          <w:p>
            <w:r>
              <w:rPr>
                <w:rFonts w:ascii="Calibri" w:hAnsi="Calibri"/>
                <w:sz w:val="22"/>
              </w:rPr>
              <w:t>Capital Plan (5-Year)</w:t>
            </w:r>
          </w:p>
        </w:tc>
        <w:tc>
          <w:tcPr>
            <w:tcW w:type="dxa" w:w="1728"/>
          </w:tcPr>
          <w:p>
            <w:r>
              <w:rPr>
                <w:rFonts w:ascii="Calibri" w:hAnsi="Calibri"/>
                <w:sz w:val="22"/>
              </w:rPr>
              <w:t>$103B (announced Q1 2026); rate base growth of 9.6% through 2030</w:t>
            </w:r>
          </w:p>
        </w:tc>
        <w:tc>
          <w:tcPr>
            <w:tcW w:type="dxa" w:w="1728"/>
          </w:tcPr>
          <w:p>
            <w:r>
              <w:rPr>
                <w:rFonts w:ascii="Calibri" w:hAnsi="Calibri"/>
                <w:sz w:val="22"/>
              </w:rPr>
              <w:t>—</w:t>
            </w:r>
          </w:p>
        </w:tc>
        <w:tc>
          <w:tcPr>
            <w:tcW w:type="dxa" w:w="1728"/>
          </w:tcPr>
          <w:p>
            <w:r>
              <w:rPr>
                <w:rFonts w:ascii="Calibri" w:hAnsi="Calibri"/>
                <w:sz w:val="22"/>
              </w:rPr>
              <w:t>FY2026 CapEx consensus: $17.7B</w:t>
            </w:r>
          </w:p>
        </w:tc>
        <w:tc>
          <w:tcPr>
            <w:tcW w:type="dxa" w:w="1728"/>
          </w:tcPr>
          <w:p>
            <w:r>
              <w:rPr>
                <w:rFonts w:ascii="Calibri" w:hAnsi="Calibri"/>
                <w:sz w:val="22"/>
              </w:rPr>
              <w:t>Unchanged. No post-earnings capital plan update.</w:t>
            </w:r>
          </w:p>
        </w:tc>
      </w:tr>
      <w:tr>
        <w:tc>
          <w:tcPr>
            <w:tcW w:type="dxa" w:w="1728"/>
          </w:tcPr>
          <w:p>
            <w:r>
              <w:rPr>
                <w:rFonts w:ascii="Calibri" w:hAnsi="Calibri"/>
                <w:sz w:val="22"/>
              </w:rPr>
              <w:t>FFO / Total Debt</w:t>
            </w:r>
          </w:p>
        </w:tc>
        <w:tc>
          <w:tcPr>
            <w:tcW w:type="dxa" w:w="1728"/>
          </w:tcPr>
          <w:p>
            <w:r>
              <w:rPr>
                <w:rFonts w:ascii="Calibri" w:hAnsi="Calibri"/>
                <w:sz w:val="22"/>
              </w:rPr>
              <w:t>~14.5% for FY2026; 15% long-term target</w:t>
            </w:r>
          </w:p>
        </w:tc>
        <w:tc>
          <w:tcPr>
            <w:tcW w:type="dxa" w:w="1728"/>
          </w:tcPr>
          <w:p>
            <w:r>
              <w:rPr>
                <w:rFonts w:ascii="Calibri" w:hAnsi="Calibri"/>
                <w:sz w:val="22"/>
              </w:rPr>
              <w:t>—</w:t>
            </w:r>
          </w:p>
        </w:tc>
        <w:tc>
          <w:tcPr>
            <w:tcW w:type="dxa" w:w="1728"/>
          </w:tcPr>
          <w:p>
            <w:r>
              <w:rPr>
                <w:rFonts w:ascii="Calibri" w:hAnsi="Calibri"/>
                <w:sz w:val="22"/>
              </w:rPr>
              <w:t>~13.8% Q2 2026 consensus; 13.1% FY2026 consensus</w:t>
            </w:r>
          </w:p>
        </w:tc>
        <w:tc>
          <w:tcPr>
            <w:tcW w:type="dxa" w:w="1728"/>
          </w:tcPr>
          <w:p>
            <w:r>
              <w:rPr>
                <w:rFonts w:ascii="Calibri" w:hAnsi="Calibri"/>
                <w:sz w:val="22"/>
              </w:rPr>
              <w:t>Consensus below management target; watch for commentary on trajectory.</w:t>
            </w:r>
          </w:p>
        </w:tc>
      </w:tr>
      <w:tr>
        <w:tc>
          <w:tcPr>
            <w:tcW w:type="dxa" w:w="1728"/>
          </w:tcPr>
          <w:p>
            <w:r>
              <w:rPr>
                <w:rFonts w:ascii="Calibri" w:hAnsi="Calibri"/>
                <w:sz w:val="22"/>
              </w:rPr>
              <w:t>NC Rate Case (DEC)</w:t>
            </w:r>
          </w:p>
        </w:tc>
        <w:tc>
          <w:tcPr>
            <w:tcW w:type="dxa" w:w="1728"/>
          </w:tcPr>
          <w:p>
            <w:r>
              <w:rPr>
                <w:rFonts w:ascii="Calibri" w:hAnsi="Calibri"/>
                <w:sz w:val="22"/>
              </w:rPr>
              <w:t>Pending; filed Nov 2025; partial settlement expected</w:t>
            </w:r>
          </w:p>
        </w:tc>
        <w:tc>
          <w:tcPr>
            <w:tcW w:type="dxa" w:w="1728"/>
          </w:tcPr>
          <w:p>
            <w:r>
              <w:rPr>
                <w:rFonts w:ascii="Calibri" w:hAnsi="Calibri"/>
                <w:sz w:val="22"/>
              </w:rPr>
              <w:t>↑ Comprehensive settlement filed July 17, 2026: 9.8% ROE, 53% equity ratio, ~$25.7B rate base, ~$3.8B MYRP capital; next rate case no earlier than Nov 2028</w:t>
            </w:r>
          </w:p>
        </w:tc>
        <w:tc>
          <w:tcPr>
            <w:tcW w:type="dxa" w:w="1728"/>
          </w:tcPr>
          <w:p>
            <w:r>
              <w:rPr>
                <w:rFonts w:ascii="Calibri" w:hAnsi="Calibri"/>
                <w:sz w:val="22"/>
              </w:rPr>
              <w:t>N/A — regulatory outcome</w:t>
            </w:r>
          </w:p>
        </w:tc>
        <w:tc>
          <w:tcPr>
            <w:tcW w:type="dxa" w:w="1728"/>
          </w:tcPr>
          <w:p>
            <w:r>
              <w:rPr>
                <w:rFonts w:ascii="Calibri" w:hAnsi="Calibri"/>
                <w:sz w:val="22"/>
              </w:rPr>
              <w:t>↑ Major positive development post-Q1 earnings. Removes key regulatory overhang. DEP case settlement discussions also underway.</w:t>
            </w:r>
          </w:p>
        </w:tc>
      </w:tr>
      <w:tr>
        <w:tc>
          <w:tcPr>
            <w:tcW w:type="dxa" w:w="1728"/>
          </w:tcPr>
          <w:p>
            <w:r>
              <w:rPr>
                <w:rFonts w:ascii="Calibri" w:hAnsi="Calibri"/>
                <w:sz w:val="22"/>
              </w:rPr>
              <w:t>ESA Signings (Data Centers)</w:t>
            </w:r>
          </w:p>
        </w:tc>
        <w:tc>
          <w:tcPr>
            <w:tcW w:type="dxa" w:w="1728"/>
          </w:tcPr>
          <w:p>
            <w:r>
              <w:rPr>
                <w:rFonts w:ascii="Calibri" w:hAnsi="Calibri"/>
                <w:sz w:val="22"/>
              </w:rPr>
              <w:t>~7.6 GW total signed as of Q1 2026; nearly two-thirds under construction</w:t>
            </w:r>
          </w:p>
        </w:tc>
        <w:tc>
          <w:tcPr>
            <w:tcW w:type="dxa" w:w="1728"/>
          </w:tcPr>
          <w:p>
            <w:r>
              <w:rPr>
                <w:rFonts w:ascii="Calibri" w:hAnsi="Calibri"/>
                <w:sz w:val="22"/>
              </w:rPr>
              <w:t>— (no formal update; Q2 2026 signing pace to be disclosed on Aug 4)</w:t>
            </w:r>
          </w:p>
        </w:tc>
        <w:tc>
          <w:tcPr>
            <w:tcW w:type="dxa" w:w="1728"/>
          </w:tcPr>
          <w:p>
            <w:r>
              <w:rPr>
                <w:rFonts w:ascii="Calibri" w:hAnsi="Calibri"/>
                <w:sz w:val="22"/>
              </w:rPr>
              <w:t>N/A — not a consensus KPI</w:t>
            </w:r>
          </w:p>
        </w:tc>
        <w:tc>
          <w:tcPr>
            <w:tcW w:type="dxa" w:w="1728"/>
          </w:tcPr>
          <w:p>
            <w:r>
              <w:rPr>
                <w:rFonts w:ascii="Calibri" w:hAnsi="Calibri"/>
                <w:sz w:val="22"/>
              </w:rPr>
              <w:t>Key watch item: Q2 2026 ESA signing volume. Peers (SO, AEP, D) all reported accelerating signings in Q2.</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Q1 2026 earnings — Q2 2026 EPS consensus moved only +$0.007 and FY2026 EPS moved −0.4% — suggesting the street is in a ‘wait and see’ mode. The gap between the FY2026 consensus ($6.71) and management’s guidance midpoint ($6.70) is essentially zero, leaving little room for positive revision surprise unless ESA signings or the DEP rate case settlement exceed expectations.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10,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$1.298</w:t>
            </w:r>
          </w:p>
        </w:tc>
        <w:tc>
          <w:tcPr>
            <w:tcW w:type="dxa" w:w="1080"/>
          </w:tcPr>
          <w:p>
            <w:r>
              <w:rPr>
                <w:rFonts w:ascii="Calibri" w:hAnsi="Calibri"/>
                <w:sz w:val="22"/>
              </w:rPr>
              <w:t>$1.305</w:t>
            </w:r>
          </w:p>
        </w:tc>
        <w:tc>
          <w:tcPr>
            <w:tcW w:type="dxa" w:w="1080"/>
          </w:tcPr>
          <w:p>
            <w:r>
              <w:rPr>
                <w:rFonts w:ascii="Calibri" w:hAnsi="Calibri"/>
                <w:sz w:val="22"/>
              </w:rPr>
              <w:t>+0.5%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$6.743</w:t>
            </w:r>
          </w:p>
        </w:tc>
        <w:tc>
          <w:tcPr>
            <w:tcW w:type="dxa" w:w="1080"/>
          </w:tcPr>
          <w:p>
            <w:r>
              <w:rPr>
                <w:rFonts w:ascii="Calibri" w:hAnsi="Calibri"/>
                <w:sz w:val="22"/>
              </w:rPr>
              <w:t>$6.714</w:t>
            </w:r>
          </w:p>
        </w:tc>
        <w:tc>
          <w:tcPr>
            <w:tcW w:type="dxa" w:w="1080"/>
          </w:tcPr>
          <w:p>
            <w:r>
              <w:rPr>
                <w:rFonts w:ascii="Calibri" w:hAnsi="Calibri"/>
                <w:sz w:val="22"/>
              </w:rPr>
              <w:t>−0.4%</w:t>
            </w:r>
          </w:p>
        </w:tc>
        <w:tc>
          <w:tcPr>
            <w:tcW w:type="dxa" w:w="1080"/>
          </w:tcPr>
          <w:p>
            <w:r>
              <w:rPr>
                <w:rFonts w:ascii="Calibri" w:hAnsi="Calibri"/>
                <w:sz w:val="22"/>
              </w:rPr>
              <w:t>$6.55–$6.85 (mid: $6.70)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w:t>
            </w:r>
          </w:p>
        </w:tc>
      </w:tr>
      <w:tr>
        <w:tc>
          <w:tcPr>
            <w:tcW w:type="dxa" w:w="1080"/>
          </w:tcPr>
          <w:p>
            <w:r>
              <w:rPr>
                <w:rFonts w:ascii="Calibri" w:hAnsi="Calibri"/>
                <w:sz w:val="22"/>
              </w:rPr>
              <w:t>Adj. EPS — FY2027</w:t>
            </w:r>
          </w:p>
        </w:tc>
        <w:tc>
          <w:tcPr>
            <w:tcW w:type="dxa" w:w="1080"/>
          </w:tcPr>
          <w:p>
            <w:r>
              <w:rPr>
                <w:rFonts w:ascii="Calibri" w:hAnsi="Calibri"/>
                <w:sz w:val="22"/>
              </w:rPr>
              <w:t>$7.204</w:t>
            </w:r>
          </w:p>
        </w:tc>
        <w:tc>
          <w:tcPr>
            <w:tcW w:type="dxa" w:w="1080"/>
          </w:tcPr>
          <w:p>
            <w:r>
              <w:rPr>
                <w:rFonts w:ascii="Calibri" w:hAnsi="Calibri"/>
                <w:sz w:val="22"/>
              </w:rPr>
              <w:t>$7.181</w:t>
            </w:r>
          </w:p>
        </w:tc>
        <w:tc>
          <w:tcPr>
            <w:tcW w:type="dxa" w:w="1080"/>
          </w:tcPr>
          <w:p>
            <w:r>
              <w:rPr>
                <w:rFonts w:ascii="Calibri" w:hAnsi="Calibri"/>
                <w:sz w:val="22"/>
              </w:rPr>
              <w:t>−0.3%</w:t>
            </w:r>
          </w:p>
        </w:tc>
        <w:tc>
          <w:tcPr>
            <w:tcW w:type="dxa" w:w="1080"/>
          </w:tcPr>
          <w:p>
            <w:r>
              <w:rPr>
                <w:rFonts w:ascii="Calibri" w:hAnsi="Calibri"/>
                <w:sz w:val="22"/>
              </w:rPr>
              <w:t>5–7% LT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~7.0% implied growth</w:t>
            </w:r>
          </w:p>
        </w:tc>
      </w:tr>
      <w:tr>
        <w:tc>
          <w:tcPr>
            <w:tcW w:type="dxa" w:w="1080"/>
          </w:tcPr>
          <w:p>
            <w:r>
              <w:rPr>
                <w:rFonts w:ascii="Calibri" w:hAnsi="Calibri"/>
                <w:sz w:val="22"/>
              </w:rPr>
              <w:t>Total Revenue — Q2 2026</w:t>
            </w:r>
          </w:p>
        </w:tc>
        <w:tc>
          <w:tcPr>
            <w:tcW w:type="dxa" w:w="1080"/>
          </w:tcPr>
          <w:p>
            <w:r>
              <w:rPr>
                <w:rFonts w:ascii="Calibri" w:hAnsi="Calibri"/>
                <w:sz w:val="22"/>
              </w:rPr>
              <w:t>$7.750B</w:t>
            </w:r>
          </w:p>
        </w:tc>
        <w:tc>
          <w:tcPr>
            <w:tcW w:type="dxa" w:w="1080"/>
          </w:tcPr>
          <w:p>
            <w:r>
              <w:rPr>
                <w:rFonts w:ascii="Calibri" w:hAnsi="Calibri"/>
                <w:sz w:val="22"/>
              </w:rPr>
              <w:t>$7.785B</w:t>
            </w:r>
          </w:p>
        </w:tc>
        <w:tc>
          <w:tcPr>
            <w:tcW w:type="dxa" w:w="1080"/>
          </w:tcPr>
          <w:p>
            <w:r>
              <w:rPr>
                <w:rFonts w:ascii="Calibri" w:hAnsi="Calibri"/>
                <w:sz w:val="22"/>
              </w:rPr>
              <w:t>+0.5%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$33.646B</w:t>
            </w:r>
          </w:p>
        </w:tc>
        <w:tc>
          <w:tcPr>
            <w:tcW w:type="dxa" w:w="1080"/>
          </w:tcPr>
          <w:p>
            <w:r>
              <w:rPr>
                <w:rFonts w:ascii="Calibri" w:hAnsi="Calibri"/>
                <w:sz w:val="22"/>
              </w:rPr>
              <w:t>$33.582B</w:t>
            </w:r>
          </w:p>
        </w:tc>
        <w:tc>
          <w:tcPr>
            <w:tcW w:type="dxa" w:w="1080"/>
          </w:tcPr>
          <w:p>
            <w:r>
              <w:rPr>
                <w:rFonts w:ascii="Calibri" w:hAnsi="Calibri"/>
                <w:sz w:val="22"/>
              </w:rPr>
              <w:t>−0.2%</w:t>
            </w:r>
          </w:p>
        </w:tc>
        <w:tc>
          <w:tcPr>
            <w:tcW w:type="dxa" w:w="1080"/>
          </w:tcPr>
          <w:p>
            <w:r>
              <w:rPr>
                <w:rFonts w:ascii="Calibri" w:hAnsi="Calibri"/>
                <w:sz w:val="22"/>
              </w:rPr>
              <w:t>No revenue guidance</w:t>
            </w:r>
          </w:p>
        </w:tc>
        <w:tc>
          <w:tcPr>
            <w:tcW w:type="dxa" w:w="1080"/>
          </w:tcPr>
          <w:p>
            <w:r>
              <w:rPr>
                <w:rFonts w:ascii="Calibri" w:hAnsi="Calibri"/>
                <w:sz w:val="22"/>
              </w:rPr>
              <w:t>No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Q2 2026</w:t>
            </w:r>
          </w:p>
        </w:tc>
        <w:tc>
          <w:tcPr>
            <w:tcW w:type="dxa" w:w="1080"/>
          </w:tcPr>
          <w:p>
            <w:r>
              <w:rPr>
                <w:rFonts w:ascii="Calibri" w:hAnsi="Calibri"/>
                <w:sz w:val="22"/>
              </w:rPr>
              <w:t>$4.318B</w:t>
            </w:r>
          </w:p>
        </w:tc>
        <w:tc>
          <w:tcPr>
            <w:tcW w:type="dxa" w:w="1080"/>
          </w:tcPr>
          <w:p>
            <w:r>
              <w:rPr>
                <w:rFonts w:ascii="Calibri" w:hAnsi="Calibri"/>
                <w:sz w:val="22"/>
              </w:rPr>
              <w:t>$4.452B</w:t>
            </w:r>
          </w:p>
        </w:tc>
        <w:tc>
          <w:tcPr>
            <w:tcW w:type="dxa" w:w="1080"/>
          </w:tcPr>
          <w:p>
            <w:r>
              <w:rPr>
                <w:rFonts w:ascii="Calibri" w:hAnsi="Calibri"/>
                <w:sz w:val="22"/>
              </w:rPr>
              <w:t>+3.1%</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FY2026</w:t>
            </w:r>
          </w:p>
        </w:tc>
        <w:tc>
          <w:tcPr>
            <w:tcW w:type="dxa" w:w="1080"/>
          </w:tcPr>
          <w:p>
            <w:r>
              <w:rPr>
                <w:rFonts w:ascii="Calibri" w:hAnsi="Calibri"/>
                <w:sz w:val="22"/>
              </w:rPr>
              <w:t>$17.647B</w:t>
            </w:r>
          </w:p>
        </w:tc>
        <w:tc>
          <w:tcPr>
            <w:tcW w:type="dxa" w:w="1080"/>
          </w:tcPr>
          <w:p>
            <w:r>
              <w:rPr>
                <w:rFonts w:ascii="Calibri" w:hAnsi="Calibri"/>
                <w:sz w:val="22"/>
              </w:rPr>
              <w:t>$17.728B</w:t>
            </w:r>
          </w:p>
        </w:tc>
        <w:tc>
          <w:tcPr>
            <w:tcW w:type="dxa" w:w="1080"/>
          </w:tcPr>
          <w:p>
            <w:r>
              <w:rPr>
                <w:rFonts w:ascii="Calibri" w:hAnsi="Calibri"/>
                <w:sz w:val="22"/>
              </w:rPr>
              <w:t>+0.5%</w:t>
            </w:r>
          </w:p>
        </w:tc>
        <w:tc>
          <w:tcPr>
            <w:tcW w:type="dxa" w:w="1080"/>
          </w:tcPr>
          <w:p>
            <w:r>
              <w:rPr>
                <w:rFonts w:ascii="Calibri" w:hAnsi="Calibri"/>
                <w:sz w:val="22"/>
              </w:rPr>
              <w:t>~$103B over 5 years (~$20.6B/yr avg)</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5-yr avg run-rate; ramp expected in later years</w:t>
            </w:r>
          </w:p>
        </w:tc>
      </w:tr>
    </w:tbl>
    <w:p>
      <w:r>
        <w:rPr>
          <w:rFonts w:ascii="Calibri" w:hAnsi="Calibri"/>
          <w:i/>
          <w:color w:val="525866"/>
          <w:sz w:val="22"/>
        </w:rPr>
        <w:t>Source: Visible Alpha Consensus and Actuals Data. Baseline as of May 10, 2026 (5 trading days post Q1 2026 earnings). Current consensus as of August 3, 2026.</w:t>
      </w:r>
    </w:p>
    <w:p>
      <w:r>
        <w:rPr>
          <w:rFonts w:ascii="Calibri" w:hAnsi="Calibri"/>
          <w:color w:val="525866"/>
          <w:sz w:val="22"/>
        </w:rPr>
        <w:t>The near-zero estimate drift since Q1 earnings reflects a market that has fully digested the Q1 beat and guidance reaffirmation. The slight upward revision in Q2 CapEx consensus (+3.1%) is consistent with the accelerating capital deployment pace. The FY2026 FFO/Debt consensus of ~13.1% remains below management’s 14.5% target — a gap that management will likely address on the call, particularly given the 14.8% achieved in FY2025.</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DUK has underperformed both XLU and the S&amp;P 500 since Q1 2026 earnings, declining ~2.6% on an indexed basis vs. XLU −4.3% and SPY +4.7%. The underperformance vs. SPY reflects the broader utility sector’s defensive rotation headwind in a risk-on tape, while DUK’s slight outperformance vs. XLU suggests the data center growth story is providing modest relative support within utilities.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DUK vs. XLU vs. S&amp;P 500 — Indexed to 100 at Q1 2026 Earnings (May 5, 2026). Source: Yahoo Finance. Two material events marked: July 2 partial NC rate settlement and July 17 comprehensive NC rate settlement (9.8% ROE).</w:t>
      </w:r>
    </w:p>
    <w:p>
      <w:r>
        <w:rPr>
          <w:rFonts w:ascii="Calibri" w:hAnsi="Calibri"/>
          <w:b/>
          <w:color w:val="525866"/>
          <w:sz w:val="22"/>
        </w:rPr>
        <w:t>Performance Summary (May 5 – August 4, 2026):</w:t>
      </w:r>
    </w:p>
    <w:p>
      <w:pPr>
        <w:pStyle w:val="ListBullet"/>
        <w:ind w:left="360" w:hanging="360"/>
      </w:pPr>
      <w:r>
        <w:rPr>
          <w:rFonts w:ascii="Calibri" w:hAnsi="Calibri"/>
          <w:b/>
          <w:color w:val="525866"/>
          <w:sz w:val="22"/>
        </w:rPr>
        <w:t xml:space="preserve">DUK: </w:t>
      </w:r>
      <w:r>
        <w:rPr>
          <w:rFonts w:ascii="Calibri" w:hAnsi="Calibri"/>
          <w:color w:val="525866"/>
          <w:sz w:val="22"/>
        </w:rPr>
        <w:t>$127.58 → $124.28 (−2.6% indexed; −2.6% absolute)</w:t>
      </w:r>
    </w:p>
    <w:p>
      <w:pPr>
        <w:pStyle w:val="ListBullet"/>
        <w:ind w:left="360" w:hanging="360"/>
      </w:pPr>
      <w:r>
        <w:rPr>
          <w:rFonts w:ascii="Calibri" w:hAnsi="Calibri"/>
          <w:b/>
          <w:color w:val="525866"/>
          <w:sz w:val="22"/>
        </w:rPr>
        <w:t xml:space="preserve">XLU (Utilities ETF): </w:t>
      </w:r>
      <w:r>
        <w:rPr>
          <w:rFonts w:ascii="Calibri" w:hAnsi="Calibri"/>
          <w:color w:val="525866"/>
          <w:sz w:val="22"/>
        </w:rPr>
        <w:t>$46.37 → $44.36 (−4.3% indexed)</w:t>
      </w:r>
    </w:p>
    <w:p>
      <w:pPr>
        <w:pStyle w:val="ListBullet"/>
        <w:ind w:left="360" w:hanging="360"/>
      </w:pPr>
      <w:r>
        <w:rPr>
          <w:rFonts w:ascii="Calibri" w:hAnsi="Calibri"/>
          <w:b/>
          <w:color w:val="525866"/>
          <w:sz w:val="22"/>
        </w:rPr>
        <w:t xml:space="preserve">S&amp;P 500 (SPY): </w:t>
      </w:r>
      <w:r>
        <w:rPr>
          <w:rFonts w:ascii="Calibri" w:hAnsi="Calibri"/>
          <w:color w:val="525866"/>
          <w:sz w:val="22"/>
        </w:rPr>
        <w:t>$723.77 → $757.67 (+4.7% indexed)</w:t>
      </w:r>
    </w:p>
    <w:p>
      <w:r>
        <w:rPr>
          <w:rFonts w:ascii="Calibri" w:hAnsi="Calibri"/>
          <w:b/>
          <w:color w:val="525866"/>
          <w:sz w:val="22"/>
        </w:rPr>
        <w:t xml:space="preserve">Key observations: </w:t>
      </w:r>
      <w:r>
        <w:rPr>
          <w:rFonts w:ascii="Calibri" w:hAnsi="Calibri"/>
          <w:color w:val="525866"/>
          <w:sz w:val="22"/>
        </w:rPr>
        <w:t>DUK sold off sharply in mid-May (to ~$121) alongside the broader utility sector, then recovered through late June/early July on the back of the rate settlement news. The July 2 partial settlement and July 17 comprehensive settlement (9.8% ROE) drove a brief rally to ~$130 before the stock faded back. The stock’s inability to hold the post-settlement gains suggests the market had partially priced in a constructive outcome. The XLU benchmark confirms this was a sector-wide dynamic, not DUK-specific. The stock’s performance has been driven primarily by sector rotation and rate sentiment rather than estimate revisions, which have been flat.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July 17 comprehensive rate settlement for Duke Energy Carolinas — securing a 9.8% ROE and ~$3.8B of multi-year rate plan capital — is the most significant post-Q1 development and removes the largest regulatory overhang heading into Q2 earnings. The DEP rate case settlement discussions are the next key catalyst.</w:t>
      </w:r>
    </w:p>
    <w:p>
      <w:pPr>
        <w:pStyle w:val="ListBullet"/>
        <w:ind w:left="360" w:hanging="360"/>
      </w:pPr>
      <w:r>
        <w:rPr>
          <w:rFonts w:ascii="Calibri" w:hAnsi="Calibri"/>
          <w:b/>
          <w:color w:val="525866"/>
          <w:sz w:val="22"/>
        </w:rPr>
        <w:t xml:space="preserve">July 17, 2026 — DEC Comprehensive Rate Settlement Filed (8-K): </w:t>
      </w:r>
      <w:r>
        <w:rPr>
          <w:rFonts w:ascii="Calibri" w:hAnsi="Calibri"/>
          <w:color w:val="525866"/>
          <w:sz w:val="22"/>
        </w:rPr>
        <w:t xml:space="preserve">Duke Energy Carolinas reached a comprehensive revenue requirement settlement with the NC Public Staff and all intervenors. Key terms: 9.8% ROE on 53% equity ratio, ~$25.7B retail rate base, ~$3.8B of MYRP capital, and an agreement to evaluate delaying the next rate case until no earlier than November 2028. One-time pre-tax charges of ~$40M (treated as special items, excluded from adjusted EPS). </w:t>
      </w:r>
    </w:p>
    <w:p>
      <w:pPr>
        <w:pStyle w:val="ListBullet"/>
        <w:ind w:left="360" w:hanging="360"/>
      </w:pPr>
      <w:r>
        <w:rPr>
          <w:rFonts w:ascii="Calibri" w:hAnsi="Calibri"/>
          <w:i/>
          <w:color w:val="525866"/>
          <w:sz w:val="22"/>
        </w:rPr>
        <w:t xml:space="preserve">Implication: </w:t>
      </w:r>
      <w:r>
        <w:rPr>
          <w:rFonts w:ascii="Calibri" w:hAnsi="Calibri"/>
          <w:i/>
          <w:color w:val="525866"/>
          <w:sz w:val="22"/>
        </w:rPr>
        <w:t>Removes the single largest regulatory uncertainty. The 9.8% ROE is in line with peer settlements (AEP Ohio: 9.84%; AEP PSO: 9.375%). The DEP settlement discussions are now underway under a ‘substantially similar framework.’</w:t>
      </w:r>
    </w:p>
    <w:p>
      <w:pPr>
        <w:pStyle w:val="ListBullet"/>
        <w:ind w:left="360" w:hanging="360"/>
      </w:pPr>
      <w:r>
        <w:rPr>
          <w:rFonts w:ascii="Calibri" w:hAnsi="Calibri"/>
          <w:b/>
          <w:color w:val="525866"/>
          <w:sz w:val="22"/>
        </w:rPr>
        <w:t xml:space="preserve">July 2, 2026 — DEC Partial Rate Settlement (8-K): </w:t>
      </w:r>
      <w:r>
        <w:rPr>
          <w:rFonts w:ascii="Calibri" w:hAnsi="Calibri"/>
          <w:color w:val="525866"/>
          <w:sz w:val="22"/>
        </w:rPr>
        <w:t xml:space="preserve">Duke Energy Carolinas reached a partial settlement with the NC Public Staff covering O&amp;M costs, project-specific CapEx, rider mechanisms, and accounting adjustments. Excluded items (ROE, capital structure, MYRP capital, storm recovery) were subsequently resolved in the July 17 comprehensive settlement. One-time pre-tax charge of ~$10M recognized in Q2 2026. </w:t>
      </w:r>
    </w:p>
    <w:p>
      <w:pPr>
        <w:pStyle w:val="ListBullet"/>
        <w:ind w:left="360" w:hanging="360"/>
      </w:pPr>
      <w:r>
        <w:rPr>
          <w:rFonts w:ascii="Calibri" w:hAnsi="Calibri"/>
          <w:i/>
          <w:color w:val="525866"/>
          <w:sz w:val="22"/>
        </w:rPr>
        <w:t xml:space="preserve">Implication: </w:t>
      </w:r>
      <w:r>
        <w:rPr>
          <w:rFonts w:ascii="Calibri" w:hAnsi="Calibri"/>
          <w:i/>
          <w:color w:val="525866"/>
          <w:sz w:val="22"/>
        </w:rPr>
        <w:t>The ~$10M charge is immaterial to adjusted EPS (~$0.01/share pre-tax) and was expected to be excluded from adjusted results.</w:t>
      </w:r>
    </w:p>
    <w:p>
      <w:pPr>
        <w:pStyle w:val="ListBullet"/>
        <w:ind w:left="360" w:hanging="360"/>
      </w:pPr>
      <w:r>
        <w:rPr>
          <w:rFonts w:ascii="Calibri" w:hAnsi="Calibri"/>
          <w:b/>
          <w:color w:val="525866"/>
          <w:sz w:val="22"/>
        </w:rPr>
        <w:t xml:space="preserve">May 5, 2026 — Q1 2026 Earnings Beat &amp; ESA Acceleration: </w:t>
      </w:r>
      <w:r>
        <w:rPr>
          <w:rFonts w:ascii="Calibri" w:hAnsi="Calibri"/>
          <w:color w:val="525866"/>
          <w:sz w:val="22"/>
        </w:rPr>
        <w:t>DUK reported Q1 2026 adjusted EPS of $1.93 vs. $1.87 consensus (+3.2% beat). Signed 2.7 GW of new data center ESAs in Q1 alone, bringing total to ~7.6 GW (nearly two-thirds under construction). Closed Brookfield DEF minority investment and Piedmont Tennessee sale for &gt;$5B in proceeds. Carolina utilities merger received all regulatory approvals (effective Jan 1, 2027). Announced multiyear tax credit monetization agreement (up to $3.1B through 2028). FY2026 guidance reaffirmed at $6.55–$6.85.</w:t>
      </w:r>
    </w:p>
    <w:p>
      <w:pPr>
        <w:pStyle w:val="ListBullet"/>
        <w:ind w:left="360" w:hanging="360"/>
      </w:pPr>
      <w:r>
        <w:rPr>
          <w:rFonts w:ascii="Calibri" w:hAnsi="Calibri"/>
          <w:i/>
          <w:color w:val="525866"/>
          <w:sz w:val="22"/>
        </w:rPr>
        <w:t xml:space="preserve">Implication: </w:t>
      </w:r>
      <w:r>
        <w:rPr>
          <w:rFonts w:ascii="Calibri" w:hAnsi="Calibri"/>
          <w:i/>
          <w:color w:val="525866"/>
          <w:sz w:val="22"/>
        </w:rPr>
        <w:t>The ESA signing pace (2.7 GW in a single quarter) was the headline; the market will be watching Q2 2026 signing volume closely.</w:t>
      </w:r>
    </w:p>
    <w:p>
      <w:pPr>
        <w:pStyle w:val="ListBullet"/>
        <w:ind w:left="360" w:hanging="360"/>
      </w:pPr>
      <w:r>
        <w:rPr>
          <w:rFonts w:ascii="Calibri" w:hAnsi="Calibri"/>
          <w:b/>
          <w:color w:val="525866"/>
          <w:sz w:val="22"/>
        </w:rPr>
        <w:t xml:space="preserve">May 13, 2026 — Shareholders Reject Supermajority Voting Rule Elimination (8-K): </w:t>
      </w:r>
      <w:r>
        <w:rPr>
          <w:rFonts w:ascii="Calibri" w:hAnsi="Calibri"/>
          <w:color w:val="525866"/>
          <w:sz w:val="22"/>
        </w:rPr>
        <w:t xml:space="preserve">DUK shareholders voted against a proposal to eliminate the supermajority voting requirement. </w:t>
      </w:r>
    </w:p>
    <w:p>
      <w:pPr>
        <w:pStyle w:val="ListBullet"/>
        <w:ind w:left="360" w:hanging="360"/>
      </w:pPr>
      <w:r>
        <w:rPr>
          <w:rFonts w:ascii="Calibri" w:hAnsi="Calibri"/>
          <w:i/>
          <w:color w:val="525866"/>
          <w:sz w:val="22"/>
        </w:rPr>
        <w:t xml:space="preserve">Implication: </w:t>
      </w:r>
      <w:r>
        <w:rPr>
          <w:rFonts w:ascii="Calibri" w:hAnsi="Calibri"/>
          <w:i/>
          <w:color w:val="525866"/>
          <w:sz w:val="22"/>
        </w:rPr>
        <w:t>Governance-related; limited direct earnings impact.</w:t>
      </w:r>
    </w:p>
    <w:p>
      <w:pPr>
        <w:pStyle w:val="ListBullet"/>
        <w:ind w:left="360" w:hanging="360"/>
      </w:pPr>
      <w:r>
        <w:rPr>
          <w:rFonts w:ascii="Calibri" w:hAnsi="Calibri"/>
          <w:b/>
          <w:color w:val="525866"/>
          <w:sz w:val="22"/>
        </w:rPr>
        <w:t xml:space="preserve">July 7, 2026 — Q2 2026 Earnings Date Announcement: </w:t>
      </w:r>
      <w:r>
        <w:rPr>
          <w:rFonts w:ascii="Calibri" w:hAnsi="Calibri"/>
          <w:color w:val="525866"/>
          <w:sz w:val="22"/>
        </w:rPr>
        <w:t>Duke Energy confirmed Q2 2026 financial results will be released on August 4, 2026.</w:t>
      </w:r>
    </w:p>
    <w:p>
      <w:pPr>
        <w:pStyle w:val="ListBullet"/>
        <w:ind w:left="360" w:hanging="360"/>
      </w:pPr>
      <w:r>
        <w:rPr>
          <w:rFonts w:ascii="Calibri" w:hAnsi="Calibri"/>
          <w:b/>
          <w:color w:val="525866"/>
          <w:sz w:val="22"/>
        </w:rPr>
        <w:t xml:space="preserve">Peer Read-Through — Sector-Wide ESA Acceleration: </w:t>
      </w:r>
      <w:r>
        <w:rPr>
          <w:rFonts w:ascii="Calibri" w:hAnsi="Calibri"/>
          <w:color w:val="525866"/>
          <w:sz w:val="22"/>
        </w:rPr>
        <w:t xml:space="preserve">Multiple utility peers reported accelerating data center ESA signings in Q2 2026: Southern Company signed a 3.2 GW, 25-year contract with OpenAI (Georgia Power) and added ~3 GW in Alabama, bringing total contracted load to &gt;17 GW. AEP contracted an additional 6 GW in Q2 (primarily Texas LOIs), bringing total to 69 GW through 2030. Dominion Energy now has ~12 GW under ESAs (up from ~7 GW at year-end). </w:t>
      </w:r>
    </w:p>
    <w:p>
      <w:pPr>
        <w:pStyle w:val="ListBullet"/>
        <w:ind w:left="360" w:hanging="360"/>
      </w:pPr>
      <w:r>
        <w:rPr>
          <w:rFonts w:ascii="Calibri" w:hAnsi="Calibri"/>
          <w:i/>
          <w:color w:val="525866"/>
          <w:sz w:val="22"/>
        </w:rPr>
        <w:t xml:space="preserve">Implication: </w:t>
      </w:r>
      <w:r>
        <w:rPr>
          <w:rFonts w:ascii="Calibri" w:hAnsi="Calibri"/>
          <w:i/>
          <w:color w:val="525866"/>
          <w:sz w:val="22"/>
        </w:rPr>
        <w:t>The sector-wide acceleration in ESA signings is a strong positive read-through for DUK’s Q2 2026 signing update. DUK’s Southeast/Midwest footprint is directly competitive with SO and AEP territories.</w:t>
      </w:r>
    </w:p>
    <w:p>
      <w:pPr>
        <w:pStyle w:val="ListBullet"/>
        <w:ind w:left="360" w:hanging="360"/>
      </w:pPr>
      <w:r>
        <w:rPr>
          <w:rFonts w:ascii="Calibri" w:hAnsi="Calibri"/>
          <w:b/>
          <w:color w:val="525866"/>
          <w:sz w:val="22"/>
        </w:rPr>
        <w:t xml:space="preserve">Analyst/Rating Activity: </w:t>
      </w:r>
      <w:r>
        <w:rPr>
          <w:rFonts w:ascii="Calibri" w:hAnsi="Calibri"/>
          <w:color w:val="525866"/>
          <w:sz w:val="22"/>
        </w:rPr>
        <w:t>No material rating changes identified in the post-Q1 period based on available data. The stock’s modest underperformance vs. XLU suggests no significant positive re-rating from the sell side.</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Q2 2026 peer earnings calls delivered a uniformly bullish message on data center load growth, with every major utility reporting accelerating ESA signings, robust pipelines, and constructive regulatory outcomes. The read-through for DUK is strongly positive on the ESA signing cadence and regulatory tone, though weather was a modest headwind for some peers in Q2 (normal vs. warm-2025 comps).</w:t>
      </w:r>
    </w:p>
    <w:p>
      <w:r>
        <w:rPr>
          <w:rFonts w:ascii="Calibri" w:hAnsi="Calibri"/>
          <w:i/>
          <w:color w:val="525866"/>
          <w:sz w:val="22"/>
        </w:rPr>
        <w:t>Note: All peer commentary below is from Q2 2026 earnings calls (reported July 24–July 31, 2026), which is the current reporting quarter for DUK. These are forward-looking read-throughs relevant to DUK’s Q2 2026 print on August 4, 2026.</w:t>
      </w:r>
    </w:p>
    <w:p>
      <w:pPr>
        <w:pStyle w:val="Heading3"/>
      </w:pPr>
      <w:r>
        <w:rPr>
          <w:rFonts w:ascii="Calibri" w:hAnsi="Calibri"/>
          <w:b/>
          <w:color w:val="3B4259"/>
          <w:sz w:val="24"/>
        </w:rPr>
        <w:t>Southern Company (SO) — Q2 2026 Earnings Call (July 30, 2026)</w:t>
      </w:r>
    </w:p>
    <w:p>
      <w:r>
        <w:rPr>
          <w:rFonts w:ascii="Calibri" w:hAnsi="Calibri"/>
          <w:b/>
          <w:color w:val="525866"/>
          <w:sz w:val="22"/>
        </w:rPr>
        <w:t xml:space="preserve">ESA Signings &amp; Data Center Load: </w:t>
      </w:r>
      <w:r>
        <w:rPr>
          <w:rFonts w:ascii="Calibri" w:hAnsi="Calibri"/>
          <w:color w:val="525866"/>
          <w:sz w:val="22"/>
        </w:rPr>
        <w:t>SO reported a landmark quarter for ESA signings. Georgia Power signed a 3.2 GW, 25-year contract with OpenAI for a new site near Savannah (electric service beginning in phases from 2028), featuring 1 GW of flexible demand response — the first time SO has implemented demand response for a data center. Alabama Power added ~3 GW through three new contracts. Combined, these four projects represent 6 GW of newly contracted load, bringing total contracted large load across SO’s electric subsidiaries to over 17 GW by the mid-2030s. The prospective pipeline remains “well above 75 GW.” Beyond the 17 GW contracted, an additional 8 GW is in late stages, with 3 GW projected to be finalized in the near term.</w:t>
      </w:r>
    </w:p>
    <w:p>
      <w:r>
        <w:rPr>
          <w:rFonts w:ascii="Calibri" w:hAnsi="Calibri"/>
          <w:b/>
          <w:color w:val="30A46C"/>
          <w:sz w:val="22"/>
        </w:rPr>
        <w:t xml:space="preserve">Read-Through for DUK: </w:t>
      </w:r>
      <w:r>
        <w:rPr>
          <w:rFonts w:ascii="Calibri" w:hAnsi="Calibri"/>
          <w:color w:val="525866"/>
          <w:sz w:val="22"/>
        </w:rPr>
        <w:t xml:space="preserve"> SO’s 6 GW single-quarter signing pace is the strongest read-through signal for DUK’s Q2 2026 ESA update. DUK’s Southeast footprint (Carolinas, Florida, Indiana) is directly competitive with SO’s Georgia/Alabama territories. If SO signed 6 GW in Q2, DUK signing 2+ GW would be consistent with the sector trend. The OpenAI contract structure (demand response, phased ramp, strong collateral) also validates DUK’s contracting framework.</w:t>
      </w:r>
    </w:p>
    <w:p>
      <w:r>
        <w:rPr>
          <w:rFonts w:ascii="Calibri" w:hAnsi="Calibri"/>
          <w:b/>
          <w:color w:val="525866"/>
          <w:sz w:val="22"/>
        </w:rPr>
        <w:t xml:space="preserve">Power Demand: </w:t>
      </w:r>
      <w:r>
        <w:rPr>
          <w:rFonts w:ascii="Calibri" w:hAnsi="Calibri"/>
          <w:color w:val="525866"/>
          <w:sz w:val="22"/>
        </w:rPr>
        <w:t>Weather-normal retail electricity sales were 2.3% higher in H1 2026 vs. H1 2025 — the highest retail sales growth through June in nearly two decades. Data center usage was 55% higher in Q2 2026 vs. Q2 2025, and up 49% year-to-date. System-wide data center load now exceeds 1.2 GW, up &gt;500 MW YoY.</w:t>
      </w:r>
    </w:p>
    <w:p>
      <w:r>
        <w:rPr>
          <w:rFonts w:ascii="Calibri" w:hAnsi="Calibri"/>
          <w:b/>
          <w:color w:val="525866"/>
          <w:sz w:val="22"/>
        </w:rPr>
        <w:t xml:space="preserve">Guidance: </w:t>
      </w:r>
      <w:r>
        <w:rPr>
          <w:rFonts w:ascii="Calibri" w:hAnsi="Calibri"/>
          <w:color w:val="525866"/>
          <w:sz w:val="22"/>
        </w:rPr>
        <w:t>SO now projects full-year 2026 adjusted EPS to be “near or at the top” of its $4.50–$4.60 guidance range, with Q3 2026 EPS estimate of $1.65/share. Retail base rates held stable in Georgia and Alabama until 2029.</w:t>
      </w:r>
    </w:p>
    <w:p>
      <w:r>
        <w:rPr>
          <w:rFonts w:ascii="Calibri" w:hAnsi="Calibri"/>
          <w:b/>
          <w:color w:val="525866"/>
          <w:sz w:val="22"/>
        </w:rPr>
        <w:t xml:space="preserve">Affordability/Regulatory: </w:t>
      </w:r>
      <w:r>
        <w:rPr>
          <w:rFonts w:ascii="Calibri" w:hAnsi="Calibri"/>
          <w:color w:val="525866"/>
          <w:sz w:val="22"/>
        </w:rPr>
        <w:t>SO joined the National Ratepayer Protection Pledge. Collateral portfolio for the entire 17 GW of contracted load is ~$21 billion (targeting A-minus or better). SO emphasized that “electric rates are not going up in our territory.”</w:t>
      </w:r>
    </w:p>
    <w:p>
      <w:pPr>
        <w:pStyle w:val="Heading3"/>
      </w:pPr>
      <w:r>
        <w:rPr>
          <w:rFonts w:ascii="Calibri" w:hAnsi="Calibri"/>
          <w:b/>
          <w:color w:val="3B4259"/>
          <w:sz w:val="24"/>
        </w:rPr>
        <w:t>American Electric Power (AEP) — Q2 2026 Earnings Call (July 30, 2026)</w:t>
      </w:r>
    </w:p>
    <w:p>
      <w:r>
        <w:rPr>
          <w:rFonts w:ascii="Calibri" w:hAnsi="Calibri"/>
          <w:b/>
          <w:color w:val="525866"/>
          <w:sz w:val="22"/>
        </w:rPr>
        <w:t xml:space="preserve">ESA Signings &amp; Data Center Load: </w:t>
      </w:r>
      <w:r>
        <w:rPr>
          <w:rFonts w:ascii="Calibri" w:hAnsi="Calibri"/>
          <w:color w:val="525866"/>
          <w:sz w:val="22"/>
        </w:rPr>
        <w:t>AEP contracted an additional 6 GW of load in Q2 2026 (primarily fully executed LOIs in Texas), bringing total contracted load additions to 69 GW through 2030 (up from 63 GW last quarter). Texas represents the largest opportunity at 45 GW, followed by Ohio at 12 GW. AEP submitted 45 GW of projects into ERCOT’s Batch Zero process and has collected nearly $2 billion in cash or collateral for ERCOT load commitments over the past month. AEP raised its 2026 full-year operating EPS guidance by $0.10/share to $6.25–$6.55.</w:t>
      </w:r>
    </w:p>
    <w:p>
      <w:r>
        <w:rPr>
          <w:rFonts w:ascii="Calibri" w:hAnsi="Calibri"/>
          <w:b/>
          <w:color w:val="30A46C"/>
          <w:sz w:val="22"/>
        </w:rPr>
        <w:t xml:space="preserve">Read-Through for DUK: </w:t>
      </w:r>
      <w:r>
        <w:rPr>
          <w:rFonts w:ascii="Calibri" w:hAnsi="Calibri"/>
          <w:color w:val="525866"/>
          <w:sz w:val="22"/>
        </w:rPr>
        <w:t xml:space="preserve"> AEP’s guidance raise is a positive read-through for the sector’s earnings trajectory. The 69 GW total contracted load (vs. DUK’s ~7.6 GW) reflects AEP’s larger ERCOT exposure, but the underlying demand dynamics (hyperscaler demand, speed-to-power focus, large load tariff approvals) are directly applicable to DUK’s Carolinas and Florida territories. AEP’s approval of a large load tariff in Virginia (5 approved, 3 pending) is a positive regulatory precedent for DUK’s ongoing rate case proceedings.</w:t>
      </w:r>
    </w:p>
    <w:p>
      <w:r>
        <w:rPr>
          <w:rFonts w:ascii="Calibri" w:hAnsi="Calibri"/>
          <w:b/>
          <w:color w:val="525866"/>
          <w:sz w:val="22"/>
        </w:rPr>
        <w:t xml:space="preserve">Capital Plan: </w:t>
      </w:r>
      <w:r>
        <w:rPr>
          <w:rFonts w:ascii="Calibri" w:hAnsi="Calibri"/>
          <w:color w:val="525866"/>
          <w:sz w:val="22"/>
        </w:rPr>
        <w:t>AEP’s $78B five-year capital plan (2026–2030) targets ~11% rate base growth. AEP has line of sight to &gt;$10B of incremental investments beyond the base plan. Secured 13 GW of gas turbines for deployment through 2031, with options for up to 10 GW of incremental capacity through 2035.</w:t>
      </w:r>
    </w:p>
    <w:p>
      <w:r>
        <w:rPr>
          <w:rFonts w:ascii="Calibri" w:hAnsi="Calibri"/>
          <w:b/>
          <w:color w:val="525866"/>
          <w:sz w:val="22"/>
        </w:rPr>
        <w:t xml:space="preserve">Affordability: </w:t>
      </w:r>
      <w:r>
        <w:rPr>
          <w:rFonts w:ascii="Calibri" w:hAnsi="Calibri"/>
          <w:color w:val="525866"/>
          <w:sz w:val="22"/>
        </w:rPr>
        <w:t>AEP projects fixed cost offsets for residential customers of up to $16B in vertically integrated utilities due to new large load interconnections. AEP Texas secured a DOE loan guarantee for up to $3.3B to finance transmission projects, expected to deliver ~$685M in customer savings.</w:t>
      </w:r>
    </w:p>
    <w:p>
      <w:pPr>
        <w:pStyle w:val="Heading3"/>
      </w:pPr>
      <w:r>
        <w:rPr>
          <w:rFonts w:ascii="Calibri" w:hAnsi="Calibri"/>
          <w:b/>
          <w:color w:val="3B4259"/>
          <w:sz w:val="24"/>
        </w:rPr>
        <w:t>Dominion Energy (D) — Q2 2026 Earnings Call (July 31, 2026)</w:t>
      </w:r>
    </w:p>
    <w:p>
      <w:r>
        <w:rPr>
          <w:rFonts w:ascii="Calibri" w:hAnsi="Calibri"/>
          <w:b/>
          <w:color w:val="525866"/>
          <w:sz w:val="22"/>
        </w:rPr>
        <w:t xml:space="preserve">ESA Signings &amp; Data Center Load: </w:t>
      </w:r>
      <w:r>
        <w:rPr>
          <w:rFonts w:ascii="Calibri" w:hAnsi="Calibri"/>
          <w:color w:val="525866"/>
          <w:sz w:val="22"/>
        </w:rPr>
        <w:t>Dominion now has over 53 GW of data center capacity in various stages of contracting, with approximately 12 GW contracted under ESAs — an addition of over 5 GW (roughly 11%) since year-end. Nine of the Dom zone’s top ten all-time peak days have occurred in 2026, including the eight highest summer peak days, all within the last two months. Dominion reported Q2 2026 operating EPS of $0.79/share (including $0.03 of RNG 45 credits) and reaffirmed all financial guidance.</w:t>
      </w:r>
    </w:p>
    <w:p>
      <w:r>
        <w:rPr>
          <w:rFonts w:ascii="Calibri" w:hAnsi="Calibri"/>
          <w:b/>
          <w:color w:val="30A46C"/>
          <w:sz w:val="22"/>
        </w:rPr>
        <w:t xml:space="preserve">Read-Through for DUK: </w:t>
      </w:r>
      <w:r>
        <w:rPr>
          <w:rFonts w:ascii="Calibri" w:hAnsi="Calibri"/>
          <w:color w:val="525866"/>
          <w:sz w:val="22"/>
        </w:rPr>
        <w:t xml:space="preserve"> Dominion’s 12 GW of contracted ESAs (up 5 GW since year-end) is the most directly comparable data point to DUK’s ~7.6 GW. The pace of Dominion’s signing acceleration (+5 GW in ~6 months) suggests DUK could plausibly announce 2–3 GW of new signings in Q2 2026. Dominion’s record peak demand days in the Dom zone also validate the structural load growth thesis for the broader Southeast/Mid-Atlantic region. The announced NextEra/Dominion merger is a sector-level event but does not directly affect DUK.</w:t>
      </w:r>
    </w:p>
    <w:p>
      <w:r>
        <w:rPr>
          <w:rFonts w:ascii="Calibri" w:hAnsi="Calibri"/>
          <w:b/>
          <w:color w:val="525866"/>
          <w:sz w:val="22"/>
        </w:rPr>
        <w:t xml:space="preserve">Regulatory: </w:t>
      </w:r>
      <w:r>
        <w:rPr>
          <w:rFonts w:ascii="Calibri" w:hAnsi="Calibri"/>
          <w:color w:val="525866"/>
          <w:sz w:val="22"/>
        </w:rPr>
        <w:t>Dominion received 100% approval of its 2025 rider filing revenue requests (final order July 29). South Carolina electric rate case settlement unanimously approved by the PSC in June. The NextEra/Dominion merger regulatory filings are underway (Virginia SCC, NC Utilities Commission, SC PSC, FERC, NRC).</w:t>
      </w:r>
    </w:p>
    <w:p>
      <w:r>
        <w:rPr>
          <w:rFonts w:ascii="Calibri" w:hAnsi="Calibri"/>
          <w:b/>
          <w:color w:val="525866"/>
          <w:sz w:val="22"/>
        </w:rPr>
        <w:t xml:space="preserve">Capital Plan: </w:t>
      </w:r>
      <w:r>
        <w:rPr>
          <w:rFonts w:ascii="Calibri" w:hAnsi="Calibri"/>
          <w:color w:val="525866"/>
          <w:sz w:val="22"/>
        </w:rPr>
        <w:t>Filed air permits for two new natural gas combined cycle plants (Kennedy Station, SC and Mount Storm, WV) representing nearly 5 GW of new capacity. CVOW offshore wind project is 81% complete; final turbine installation timeline extended by 6 months but project substantially de-risked. Battery investment target accelerated per new legislation ($2B in current 5-year forecast).</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Data Center Load &amp; Large Load Strategy: </w:t>
      </w:r>
      <w:r>
        <w:rPr>
          <w:rFonts w:ascii="Calibri" w:hAnsi="Calibri"/>
          <w:color w:val="525866"/>
          <w:sz w:val="22"/>
        </w:rPr>
        <w:t>NEE reported Q2 2026 adjusted EPS of $1.15 (+9.8% YoY). FPL updated its large load expectations from 6 GW to 8 GW by 2032 as part of its new four-year rate agreement. FPL currently has ~21 GW of large load interest, with 12 GW in advanced discussions. Each GW of large load under FPL’s approved tariff is expected to be equivalent to ~$2B of CapEx. Energy Resources has 30 potential data center hubs under discussion (expected to rise to 40 by year-end), with a base case goal of 15 GW of new generation to serve large load by 2035 (upside case: 30+ GW). NEE is advancing development of up to 9.5 GW of gas-fired generation projects in Texas and Pennsylvania.</w:t>
      </w:r>
    </w:p>
    <w:p>
      <w:r>
        <w:rPr>
          <w:rFonts w:ascii="Calibri" w:hAnsi="Calibri"/>
          <w:b/>
          <w:color w:val="30A46C"/>
          <w:sz w:val="22"/>
        </w:rPr>
        <w:t xml:space="preserve">Read-Through for DUK: </w:t>
      </w:r>
      <w:r>
        <w:rPr>
          <w:rFonts w:ascii="Calibri" w:hAnsi="Calibri"/>
          <w:color w:val="525866"/>
          <w:sz w:val="22"/>
        </w:rPr>
        <w:t xml:space="preserve"> NEE’s FPL large load update (6 GW → 8 GW by 2032) is a direct positive read-through for DUK’s Florida operations, which compete in the same Southeast market. The $2B/GW CapEx rule of thumb is consistent with DUK’s capital plan math. NEE’s 9.8% EPS growth and guidance reaffirmation set a positive tone for the sector. The proposed NEE/Dominion merger, if approved, would create a formidable competitor in DUK’s Carolinas territory, but this is a multi-year regulatory process.</w:t>
      </w:r>
    </w:p>
    <w:p>
      <w:r>
        <w:rPr>
          <w:rFonts w:ascii="Calibri" w:hAnsi="Calibri"/>
          <w:b/>
          <w:color w:val="525866"/>
          <w:sz w:val="22"/>
        </w:rPr>
        <w:t xml:space="preserve">Regulatory: </w:t>
      </w:r>
      <w:r>
        <w:rPr>
          <w:rFonts w:ascii="Calibri" w:hAnsi="Calibri"/>
          <w:color w:val="525866"/>
          <w:sz w:val="22"/>
        </w:rPr>
        <w:t>Florida governor signed a bill codifying FPL’s large load tariff into law. NEE and Dominion announced support for the White House’s Ratepayer Protection Pledge. Iowa Utilities Commission approved a generating certificate for the Duane Arnold nuclear plant recommissioning (on track for Q1 2029).</w:t>
      </w:r>
    </w:p>
    <w:p>
      <w:pPr>
        <w:pStyle w:val="Heading3"/>
      </w:pPr>
      <w:r>
        <w:rPr>
          <w:rFonts w:ascii="Calibri" w:hAnsi="Calibri"/>
          <w:b/>
          <w:color w:val="3B4259"/>
          <w:sz w:val="24"/>
        </w:rPr>
        <w:t>Entergy (ETR) — Q2 2026 Earnings Call (July 29, 2026)</w:t>
      </w:r>
    </w:p>
    <w:p>
      <w:r>
        <w:rPr>
          <w:rFonts w:ascii="Calibri" w:hAnsi="Calibri"/>
          <w:b/>
          <w:color w:val="525866"/>
          <w:sz w:val="22"/>
        </w:rPr>
        <w:t xml:space="preserve">Data Center Load &amp; Pipeline: </w:t>
      </w:r>
      <w:r>
        <w:rPr>
          <w:rFonts w:ascii="Calibri" w:hAnsi="Calibri"/>
          <w:color w:val="525866"/>
          <w:sz w:val="22"/>
        </w:rPr>
        <w:t>ETR reported Q2 2026 adjusted EPS of $1.03 (slightly below Q2 2025 due to normal weather vs. warm 2025 comps). Excluding weather, retail sales growth was positive, driven by 10% industrial sales growth. ETR has 7–12 GW of hyperscale data center potential in its pipeline, plus 3–5 GW of traditional industrial interest. The technology sector is the “largest demand growth contributor” in ETR’s five-year plan. All existing customers (including AWS and Meta) have expressed interest in expanding beyond their current footprint. ETR reaffirmed 2026 adjusted EPS guidance and outlooks through 2030.</w:t>
      </w:r>
    </w:p>
    <w:p>
      <w:r>
        <w:rPr>
          <w:rFonts w:ascii="Calibri" w:hAnsi="Calibri"/>
          <w:b/>
          <w:color w:val="525866"/>
          <w:sz w:val="22"/>
        </w:rPr>
        <w:t xml:space="preserve">Read-Through for DUK: </w:t>
      </w:r>
      <w:r>
        <w:rPr>
          <w:rFonts w:ascii="Calibri" w:hAnsi="Calibri"/>
          <w:color w:val="525866"/>
          <w:sz w:val="22"/>
        </w:rPr>
        <w:t xml:space="preserve"> ETR’s weather headwind (normal vs. warm-2025 comps) is a relevant read-through for DUK’s Q2 2026 results — if Q2 2026 weather was closer to normal vs. the warm Q2 2025, DUK could face a similar weather headwind. However, ETR’s 10% industrial sales growth (ex-weather) confirms the underlying load growth trend is intact. ETR’s “Fair Share Plus” pledge and Louisiana Governor’s executive order on data center customer benefits are positive regulatory precedents for DUK’s ongoing rate case proceedings.</w:t>
      </w:r>
    </w:p>
    <w:p>
      <w:pPr>
        <w:pStyle w:val="Heading3"/>
      </w:pPr>
      <w:r>
        <w:rPr>
          <w:rFonts w:ascii="Calibri" w:hAnsi="Calibri"/>
          <w:b/>
          <w:color w:val="3B4259"/>
          <w:sz w:val="24"/>
        </w:rPr>
        <w:t>DTE Energy (DTE) — Q2 2026 Earnings Call (July 28, 2026)</w:t>
      </w:r>
    </w:p>
    <w:p>
      <w:r>
        <w:rPr>
          <w:rFonts w:ascii="Calibri" w:hAnsi="Calibri"/>
          <w:b/>
          <w:color w:val="525866"/>
          <w:sz w:val="22"/>
        </w:rPr>
        <w:t xml:space="preserve">Data Center Execution: </w:t>
      </w:r>
      <w:r>
        <w:rPr>
          <w:rFonts w:ascii="Calibri" w:hAnsi="Calibri"/>
          <w:color w:val="525866"/>
          <w:sz w:val="22"/>
        </w:rPr>
        <w:t>DTE reported Q2 2026 operating EPS of $1.32/share and is on track for the high end of its 2026 guidance. The 1.4 GW Oracle Data Center is fully approved and under construction; a 1 GW Google data center agreement has been executed and submitted to the Michigan PSC (approval expected September 2026). DTE has 2.4 GW of executed agreements and sees 5–6 GW of additional pipeline opportunities, including ~2 GW in advanced discussions (target: one additional agreement by year-end 2026). Oracle’s S&amp;P credit downgrade (to investment grade) is not expected to impact project completion; contract protections include additional collateral requirements at downgrade triggers.</w:t>
      </w:r>
    </w:p>
    <w:p>
      <w:r>
        <w:rPr>
          <w:rFonts w:ascii="Calibri" w:hAnsi="Calibri"/>
          <w:b/>
          <w:color w:val="30A46C"/>
          <w:sz w:val="22"/>
        </w:rPr>
        <w:t xml:space="preserve">Read-Through for DUK: </w:t>
      </w:r>
      <w:r>
        <w:rPr>
          <w:rFonts w:ascii="Calibri" w:hAnsi="Calibri"/>
          <w:color w:val="525866"/>
          <w:sz w:val="22"/>
        </w:rPr>
        <w:t xml:space="preserve"> DTE’s Oracle collateral protection framework (additional collateral at downgrade triggers, full stranded asset protection) is a positive read-through for DUK’s contracting discipline. DTE’s statement that 3 GW of data center load gets them to ‘8%+’ EPS growth is a useful benchmark for DUK’s capital plan math. DTE’s IRP filing (Q3 2026) will provide a sector-level template for how utilities are planning generation resources to serve data center demand.</w:t>
      </w:r>
    </w:p>
    <w:p>
      <w:pPr>
        <w:pStyle w:val="Heading3"/>
      </w:pPr>
      <w:r>
        <w:rPr>
          <w:rFonts w:ascii="Calibri" w:hAnsi="Calibri"/>
          <w:b/>
          <w:color w:val="3B4259"/>
          <w:sz w:val="24"/>
        </w:rPr>
        <w:t>WEC Energy Group (WEC) — Q2 2026 Earnings Call (July 29, 2026)</w:t>
      </w:r>
    </w:p>
    <w:p>
      <w:r>
        <w:rPr>
          <w:rFonts w:ascii="Calibri" w:hAnsi="Calibri"/>
          <w:b/>
          <w:color w:val="525866"/>
          <w:sz w:val="22"/>
        </w:rPr>
        <w:t xml:space="preserve">Data Center Load &amp; VLC Tariff: </w:t>
      </w:r>
      <w:r>
        <w:rPr>
          <w:rFonts w:ascii="Calibri" w:hAnsi="Calibri"/>
          <w:color w:val="525866"/>
          <w:sz w:val="22"/>
        </w:rPr>
        <w:t>WEC reported Q2 2026 earnings of $0.91/share (+15 cents YoY), on track for 2026 guidance of $5.51–$5.61. Microsoft’s first data center facility at Pleasant Prairie is fully operational; WEC is preparing to serve a forecasted demand increase of 2.6 GW in the I-94 corridor through 2030. Vantage Data Centers (Oracle) is developing facilities on ~1,900 acres; WEC forecasts 1.3 GW of demand for this site over the next five years (potential to reach 3.5 GW). The Wisconsin PSC provided the written order for WEC’s Very Large Customer (VLC) tariff in May, ensuring VLCs pay their full share of costs. WEC’s five-year capital plan includes $37.5B of projected investments; long-term EPS growth of 7–8% per year (2026–2030), accelerating to the upper half beginning 2028.</w:t>
      </w:r>
    </w:p>
    <w:p>
      <w:r>
        <w:rPr>
          <w:rFonts w:ascii="Calibri" w:hAnsi="Calibri"/>
          <w:b/>
          <w:color w:val="525866"/>
          <w:sz w:val="22"/>
        </w:rPr>
        <w:t xml:space="preserve">Read-Through for DUK: </w:t>
      </w:r>
      <w:r>
        <w:rPr>
          <w:rFonts w:ascii="Calibri" w:hAnsi="Calibri"/>
          <w:color w:val="525866"/>
          <w:sz w:val="22"/>
        </w:rPr>
        <w:t xml:space="preserve"> WEC’s VLC tariff approval and the Oracle/Microsoft execution progress validate the utility sector’s ability to contract, build, and serve large data center customers in a credit-protected manner. WEC’s 7–8% EPS growth guidance (accelerating to upper half in 2028) is directly comparable to DUK’s 5–7% guidance (top half beginning 2028), suggesting DUK’s growth trajectory is in line with sector peers. WEC’s weather headwind (−0.05/share vs. normal) is another data point suggesting Q2 2026 weather was a modest headwind across the Midwest/Southeast.</w:t>
      </w:r>
    </w:p>
    <w:p>
      <w:pPr>
        <w:pStyle w:val="Heading3"/>
      </w:pPr>
      <w:r>
        <w:rPr>
          <w:rFonts w:ascii="Calibri" w:hAnsi="Calibri"/>
          <w:b/>
          <w:color w:val="3B4259"/>
          <w:sz w:val="24"/>
        </w:rPr>
        <w:t>Xcel Energy (XEL) — Q2 2026 Earnings Call (July 30, 2026)</w:t>
      </w:r>
    </w:p>
    <w:p>
      <w:r>
        <w:rPr>
          <w:rFonts w:ascii="Calibri" w:hAnsi="Calibri"/>
          <w:b/>
          <w:color w:val="525866"/>
          <w:sz w:val="22"/>
        </w:rPr>
        <w:t xml:space="preserve">Data Center Pipeline &amp; Large Load Tariffs: </w:t>
      </w:r>
      <w:r>
        <w:rPr>
          <w:rFonts w:ascii="Calibri" w:hAnsi="Calibri"/>
          <w:color w:val="525866"/>
          <w:sz w:val="22"/>
        </w:rPr>
        <w:t>XEL reported Q2 2026 EPS of $0.93/share (vs. $0.75 in Q2 2025) and reaffirmed 2026 guidance of $4.04–$4.16. XEL added 3 GW of data center demand to its target plan on the Q4 call; currently has 1 GW in operation/under construction and 1 GW under signed ESAs. Expects to secure an additional 4 GW by year-end 2027 (at least 1 GW by year-end 2026). High-probability data center pipeline is 20 GW, largely in the upper Midwest and Southwest. Large load tariffs recently approved in Minnesota and filed in Colorado and Wisconsin. For every GW of data center, XEL estimates $5–6B of generation investments plus additional transmission.</w:t>
      </w:r>
    </w:p>
    <w:p>
      <w:r>
        <w:rPr>
          <w:rFonts w:ascii="Calibri" w:hAnsi="Calibri"/>
          <w:b/>
          <w:color w:val="525866"/>
          <w:sz w:val="22"/>
        </w:rPr>
        <w:t xml:space="preserve">Read-Through for DUK: </w:t>
      </w:r>
      <w:r>
        <w:rPr>
          <w:rFonts w:ascii="Calibri" w:hAnsi="Calibri"/>
          <w:color w:val="525866"/>
          <w:sz w:val="22"/>
        </w:rPr>
        <w:t xml:space="preserve"> XEL’s $5–6B/GW generation investment estimate (vs. NEE’s $2B/GW and SO’s ~$2B/GW) reflects XEL’s higher renewable content requirement. DUK’s capital plan math is more consistent with the $2B/GW framework given its gas-heavy generation mix. XEL’s strong Q2 EPS beat (+24% YoY) driven by non-fuel riders and sales growth is a positive read-through for DUK’s rate base growth contribution to earnings.</w:t>
      </w:r>
    </w:p>
    <w:p>
      <w:pPr>
        <w:pStyle w:val="Heading3"/>
      </w:pPr>
      <w:r>
        <w:rPr>
          <w:rFonts w:ascii="Calibri" w:hAnsi="Calibri"/>
          <w:b/>
          <w:color w:val="3B4259"/>
          <w:sz w:val="24"/>
        </w:rPr>
        <w:t>CMS Energy (CMS) — Q2 2026 Earnings Call (July 28, 2026)</w:t>
      </w:r>
    </w:p>
    <w:p>
      <w:r>
        <w:rPr>
          <w:rFonts w:ascii="Calibri" w:hAnsi="Calibri"/>
          <w:b/>
          <w:color w:val="525866"/>
          <w:sz w:val="22"/>
        </w:rPr>
        <w:t xml:space="preserve">Data Center &amp; Large Load Tariff: </w:t>
      </w:r>
      <w:r>
        <w:rPr>
          <w:rFonts w:ascii="Calibri" w:hAnsi="Calibri"/>
          <w:color w:val="525866"/>
          <w:sz w:val="22"/>
        </w:rPr>
        <w:t>CMS reaffirmed 2026 guidance of $3.83–$3.90/share and introduced 2027 guidance of $4.17/share (6–8% growth). CMS reached an agreement under its large load tariff (Extraordinary Facilities Agreement + rate agreement) — described as “one of the most constructive in the country for data center growth.” Every GW of new large load under the tariff is expected to provide ~$7.50/month of bill benefit for the average residential customer. CMS also contracted ~135 MW of manufacturing/industrial load year-to-date. The IRP will be filed in September incorporating data center load growth.</w:t>
      </w:r>
    </w:p>
    <w:p>
      <w:r>
        <w:rPr>
          <w:rFonts w:ascii="Calibri" w:hAnsi="Calibri"/>
          <w:b/>
          <w:color w:val="525866"/>
          <w:sz w:val="22"/>
        </w:rPr>
        <w:t xml:space="preserve">Read-Through for DUK: </w:t>
      </w:r>
      <w:r>
        <w:rPr>
          <w:rFonts w:ascii="Calibri" w:hAnsi="Calibri"/>
          <w:color w:val="525866"/>
          <w:sz w:val="22"/>
        </w:rPr>
        <w:t xml:space="preserve"> CMS’s $7.50/month residential bill benefit per GW of large load is a useful benchmark for DUK’s customer affordability messaging. CMS’s decision to exit non-utility renewables development and focus on utility investment is a sector-level signal that regulated utility capital deployment is the preferred growth vehicle. CMS’s 2027 guidance introduction ($4.17/share) provides a sector-level template for how utilities are communicating multi-year earnings visibility.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Q2 2026 EPS vs. Guidance</w:t>
            </w:r>
          </w:p>
        </w:tc>
        <w:tc>
          <w:tcPr>
            <w:tcW w:type="dxa" w:w="2160"/>
            <w:shd w:val="clear" w:color="auto" w:fill="3B4259"/>
          </w:tcPr>
          <w:p>
            <w:r>
              <w:rPr>
                <w:rFonts w:ascii="Calibri" w:hAnsi="Calibri"/>
                <w:b/>
                <w:color w:val="FFFFFF"/>
                <w:sz w:val="22"/>
              </w:rPr>
              <w:t>ESA/Large Load Update</w:t>
            </w:r>
          </w:p>
        </w:tc>
        <w:tc>
          <w:tcPr>
            <w:tcW w:type="dxa" w:w="2160"/>
            <w:shd w:val="clear" w:color="auto" w:fill="3B4259"/>
          </w:tcPr>
          <w:p>
            <w:r>
              <w:rPr>
                <w:rFonts w:ascii="Calibri" w:hAnsi="Calibri"/>
                <w:b/>
                <w:color w:val="FFFFFF"/>
                <w:sz w:val="22"/>
              </w:rPr>
              <w:t>Key DUK Read-Through</w:t>
            </w:r>
          </w:p>
        </w:tc>
      </w:tr>
      <w:tr>
        <w:tc>
          <w:tcPr>
            <w:tcW w:type="dxa" w:w="2160"/>
          </w:tcPr>
          <w:p>
            <w:r>
              <w:rPr>
                <w:rFonts w:ascii="Calibri" w:hAnsi="Calibri"/>
                <w:sz w:val="22"/>
              </w:rPr>
              <w:t>SO</w:t>
            </w:r>
          </w:p>
        </w:tc>
        <w:tc>
          <w:tcPr>
            <w:tcW w:type="dxa" w:w="2160"/>
          </w:tcPr>
          <w:p>
            <w:r>
              <w:rPr>
                <w:rFonts w:ascii="Calibri" w:hAnsi="Calibri"/>
                <w:sz w:val="22"/>
              </w:rPr>
              <w:t>Near/top of $4.50–$4.60 range; Q3 est. $1.65</w:t>
            </w:r>
          </w:p>
        </w:tc>
        <w:tc>
          <w:tcPr>
            <w:tcW w:type="dxa" w:w="2160"/>
          </w:tcPr>
          <w:p>
            <w:r>
              <w:rPr>
                <w:rFonts w:ascii="Calibri" w:hAnsi="Calibri"/>
                <w:sz w:val="22"/>
              </w:rPr>
              <w:t>+6 GW in Q2; total &gt;17 GW; OpenAI 3.2 GW deal</w:t>
            </w:r>
          </w:p>
        </w:tc>
        <w:tc>
          <w:tcPr>
            <w:tcW w:type="dxa" w:w="2160"/>
          </w:tcPr>
          <w:p>
            <w:r>
              <w:rPr>
                <w:rFonts w:ascii="Calibri" w:hAnsi="Calibri"/>
                <w:b/>
                <w:color w:val="30A46C"/>
                <w:sz w:val="22"/>
              </w:rPr>
              <w:t>Strongest ESA read-through; Southeast demand acceleration confirmed</w:t>
            </w:r>
          </w:p>
        </w:tc>
      </w:tr>
      <w:tr>
        <w:tc>
          <w:tcPr>
            <w:tcW w:type="dxa" w:w="2160"/>
          </w:tcPr>
          <w:p>
            <w:r>
              <w:rPr>
                <w:rFonts w:ascii="Calibri" w:hAnsi="Calibri"/>
                <w:sz w:val="22"/>
              </w:rPr>
              <w:t>AEP</w:t>
            </w:r>
          </w:p>
        </w:tc>
        <w:tc>
          <w:tcPr>
            <w:tcW w:type="dxa" w:w="2160"/>
          </w:tcPr>
          <w:p>
            <w:r>
              <w:rPr>
                <w:rFonts w:ascii="Calibri" w:hAnsi="Calibri"/>
                <w:sz w:val="22"/>
              </w:rPr>
              <w:t>Raised guidance +$0.10 to $6.25–$6.55</w:t>
            </w:r>
          </w:p>
        </w:tc>
        <w:tc>
          <w:tcPr>
            <w:tcW w:type="dxa" w:w="2160"/>
          </w:tcPr>
          <w:p>
            <w:r>
              <w:rPr>
                <w:rFonts w:ascii="Calibri" w:hAnsi="Calibri"/>
                <w:sz w:val="22"/>
              </w:rPr>
              <w:t>+6 GW in Q2; total 69 GW through 2030</w:t>
            </w:r>
          </w:p>
        </w:tc>
        <w:tc>
          <w:tcPr>
            <w:tcW w:type="dxa" w:w="2160"/>
          </w:tcPr>
          <w:p>
            <w:r>
              <w:rPr>
                <w:rFonts w:ascii="Calibri" w:hAnsi="Calibri"/>
                <w:b/>
                <w:color w:val="30A46C"/>
                <w:sz w:val="22"/>
              </w:rPr>
              <w:t>Guidance raise positive; large load tariff approvals precedent-setting</w:t>
            </w:r>
          </w:p>
        </w:tc>
      </w:tr>
      <w:tr>
        <w:tc>
          <w:tcPr>
            <w:tcW w:type="dxa" w:w="2160"/>
          </w:tcPr>
          <w:p>
            <w:r>
              <w:rPr>
                <w:rFonts w:ascii="Calibri" w:hAnsi="Calibri"/>
                <w:sz w:val="22"/>
              </w:rPr>
              <w:t>D</w:t>
            </w:r>
          </w:p>
        </w:tc>
        <w:tc>
          <w:tcPr>
            <w:tcW w:type="dxa" w:w="2160"/>
          </w:tcPr>
          <w:p>
            <w:r>
              <w:rPr>
                <w:rFonts w:ascii="Calibri" w:hAnsi="Calibri"/>
                <w:sz w:val="22"/>
              </w:rPr>
              <w:t>Reaffirmed; strong H1; highly confident in 2026 targets</w:t>
            </w:r>
          </w:p>
        </w:tc>
        <w:tc>
          <w:tcPr>
            <w:tcW w:type="dxa" w:w="2160"/>
          </w:tcPr>
          <w:p>
            <w:r>
              <w:rPr>
                <w:rFonts w:ascii="Calibri" w:hAnsi="Calibri"/>
                <w:sz w:val="22"/>
              </w:rPr>
              <w:t>~12 GW under ESAs; +5 GW since year-end; record peak demand</w:t>
            </w:r>
          </w:p>
        </w:tc>
        <w:tc>
          <w:tcPr>
            <w:tcW w:type="dxa" w:w="2160"/>
          </w:tcPr>
          <w:p>
            <w:r>
              <w:rPr>
                <w:rFonts w:ascii="Calibri" w:hAnsi="Calibri"/>
                <w:b/>
                <w:color w:val="30A46C"/>
                <w:sz w:val="22"/>
              </w:rPr>
              <w:t>Most comparable ESA pace; record demand days validate load growth thesis</w:t>
            </w:r>
          </w:p>
        </w:tc>
      </w:tr>
      <w:tr>
        <w:tc>
          <w:tcPr>
            <w:tcW w:type="dxa" w:w="2160"/>
          </w:tcPr>
          <w:p>
            <w:r>
              <w:rPr>
                <w:rFonts w:ascii="Calibri" w:hAnsi="Calibri"/>
                <w:sz w:val="22"/>
              </w:rPr>
              <w:t>NEE</w:t>
            </w:r>
          </w:p>
        </w:tc>
        <w:tc>
          <w:tcPr>
            <w:tcW w:type="dxa" w:w="2160"/>
          </w:tcPr>
          <w:p>
            <w:r>
              <w:rPr>
                <w:rFonts w:ascii="Calibri" w:hAnsi="Calibri"/>
                <w:sz w:val="22"/>
              </w:rPr>
              <w:t>Adj. EPS $1.15 (+9.8% YoY); targeting high end of range</w:t>
            </w:r>
          </w:p>
        </w:tc>
        <w:tc>
          <w:tcPr>
            <w:tcW w:type="dxa" w:w="2160"/>
          </w:tcPr>
          <w:p>
            <w:r>
              <w:rPr>
                <w:rFonts w:ascii="Calibri" w:hAnsi="Calibri"/>
                <w:sz w:val="22"/>
              </w:rPr>
              <w:t>FPL large load 6→8 GW by 2032; 21 GW interest; 12 GW advanced</w:t>
            </w:r>
          </w:p>
        </w:tc>
        <w:tc>
          <w:tcPr>
            <w:tcW w:type="dxa" w:w="2160"/>
          </w:tcPr>
          <w:p>
            <w:r>
              <w:rPr>
                <w:rFonts w:ascii="Calibri" w:hAnsi="Calibri"/>
                <w:b/>
                <w:color w:val="30A46C"/>
                <w:sz w:val="22"/>
              </w:rPr>
              <w:t>Florida market demand acceleration directly relevant to DUK Florida ops</w:t>
            </w:r>
          </w:p>
        </w:tc>
      </w:tr>
      <w:tr>
        <w:tc>
          <w:tcPr>
            <w:tcW w:type="dxa" w:w="2160"/>
          </w:tcPr>
          <w:p>
            <w:r>
              <w:rPr>
                <w:rFonts w:ascii="Calibri" w:hAnsi="Calibri"/>
                <w:sz w:val="22"/>
              </w:rPr>
              <w:t>ETR</w:t>
            </w:r>
          </w:p>
        </w:tc>
        <w:tc>
          <w:tcPr>
            <w:tcW w:type="dxa" w:w="2160"/>
          </w:tcPr>
          <w:p>
            <w:r>
              <w:rPr>
                <w:rFonts w:ascii="Calibri" w:hAnsi="Calibri"/>
                <w:sz w:val="22"/>
              </w:rPr>
              <w:t>Adj. EPS $1.03; slightly below YoY (weather); reaffirmed guidance</w:t>
            </w:r>
          </w:p>
        </w:tc>
        <w:tc>
          <w:tcPr>
            <w:tcW w:type="dxa" w:w="2160"/>
          </w:tcPr>
          <w:p>
            <w:r>
              <w:rPr>
                <w:rFonts w:ascii="Calibri" w:hAnsi="Calibri"/>
                <w:sz w:val="22"/>
              </w:rPr>
              <w:t>7–12 GW hyperscale pipeline; all customers seeking expansion</w:t>
            </w:r>
          </w:p>
        </w:tc>
        <w:tc>
          <w:tcPr>
            <w:tcW w:type="dxa" w:w="2160"/>
          </w:tcPr>
          <w:p>
            <w:r>
              <w:rPr>
                <w:rFonts w:ascii="Calibri" w:hAnsi="Calibri"/>
                <w:sz w:val="22"/>
              </w:rPr>
              <w:t>Weather headwind (normal vs. warm-2025) is a potential DUK Q2 risk</w:t>
            </w:r>
          </w:p>
        </w:tc>
      </w:tr>
      <w:tr>
        <w:tc>
          <w:tcPr>
            <w:tcW w:type="dxa" w:w="2160"/>
          </w:tcPr>
          <w:p>
            <w:r>
              <w:rPr>
                <w:rFonts w:ascii="Calibri" w:hAnsi="Calibri"/>
                <w:sz w:val="22"/>
              </w:rPr>
              <w:t>DTE</w:t>
            </w:r>
          </w:p>
        </w:tc>
        <w:tc>
          <w:tcPr>
            <w:tcW w:type="dxa" w:w="2160"/>
          </w:tcPr>
          <w:p>
            <w:r>
              <w:rPr>
                <w:rFonts w:ascii="Calibri" w:hAnsi="Calibri"/>
                <w:sz w:val="22"/>
              </w:rPr>
              <w:t>Op. EPS $1.32; on track for high end of 2026 guidance</w:t>
            </w:r>
          </w:p>
        </w:tc>
        <w:tc>
          <w:tcPr>
            <w:tcW w:type="dxa" w:w="2160"/>
          </w:tcPr>
          <w:p>
            <w:r>
              <w:rPr>
                <w:rFonts w:ascii="Calibri" w:hAnsi="Calibri"/>
                <w:sz w:val="22"/>
              </w:rPr>
              <w:t>2.4 GW executed; 5–6 GW pipeline; Oracle on track</w:t>
            </w:r>
          </w:p>
        </w:tc>
        <w:tc>
          <w:tcPr>
            <w:tcW w:type="dxa" w:w="2160"/>
          </w:tcPr>
          <w:p>
            <w:r>
              <w:rPr>
                <w:rFonts w:ascii="Calibri" w:hAnsi="Calibri"/>
                <w:b/>
                <w:color w:val="30A46C"/>
                <w:sz w:val="22"/>
              </w:rPr>
              <w:t>Collateral/credit protection framework validates DUK contracting discipline</w:t>
            </w:r>
          </w:p>
        </w:tc>
      </w:tr>
      <w:tr>
        <w:tc>
          <w:tcPr>
            <w:tcW w:type="dxa" w:w="2160"/>
          </w:tcPr>
          <w:p>
            <w:r>
              <w:rPr>
                <w:rFonts w:ascii="Calibri" w:hAnsi="Calibri"/>
                <w:sz w:val="22"/>
              </w:rPr>
              <w:t>WEC</w:t>
            </w:r>
          </w:p>
        </w:tc>
        <w:tc>
          <w:tcPr>
            <w:tcW w:type="dxa" w:w="2160"/>
          </w:tcPr>
          <w:p>
            <w:r>
              <w:rPr>
                <w:rFonts w:ascii="Calibri" w:hAnsi="Calibri"/>
                <w:sz w:val="22"/>
              </w:rPr>
              <w:t>EPS $0.91 (+15 cents YoY); on track for 2026 guidance</w:t>
            </w:r>
          </w:p>
        </w:tc>
        <w:tc>
          <w:tcPr>
            <w:tcW w:type="dxa" w:w="2160"/>
          </w:tcPr>
          <w:p>
            <w:r>
              <w:rPr>
                <w:rFonts w:ascii="Calibri" w:hAnsi="Calibri"/>
                <w:sz w:val="22"/>
              </w:rPr>
              <w:t>2.6 GW Microsoft + 1.3 GW Oracle/Vantage in forecast</w:t>
            </w:r>
          </w:p>
        </w:tc>
        <w:tc>
          <w:tcPr>
            <w:tcW w:type="dxa" w:w="2160"/>
          </w:tcPr>
          <w:p>
            <w:r>
              <w:rPr>
                <w:rFonts w:ascii="Calibri" w:hAnsi="Calibri"/>
                <w:sz w:val="22"/>
              </w:rPr>
              <w:t>VLC tariff approval validates large load regulatory framework</w:t>
            </w:r>
          </w:p>
        </w:tc>
      </w:tr>
      <w:tr>
        <w:tc>
          <w:tcPr>
            <w:tcW w:type="dxa" w:w="2160"/>
          </w:tcPr>
          <w:p>
            <w:r>
              <w:rPr>
                <w:rFonts w:ascii="Calibri" w:hAnsi="Calibri"/>
                <w:sz w:val="22"/>
              </w:rPr>
              <w:t>XEL</w:t>
            </w:r>
          </w:p>
        </w:tc>
        <w:tc>
          <w:tcPr>
            <w:tcW w:type="dxa" w:w="2160"/>
          </w:tcPr>
          <w:p>
            <w:r>
              <w:rPr>
                <w:rFonts w:ascii="Calibri" w:hAnsi="Calibri"/>
                <w:sz w:val="22"/>
              </w:rPr>
              <w:t>EPS $0.93 (+24% YoY); reaffirmed 2026 guidance</w:t>
            </w:r>
          </w:p>
        </w:tc>
        <w:tc>
          <w:tcPr>
            <w:tcW w:type="dxa" w:w="2160"/>
          </w:tcPr>
          <w:p>
            <w:r>
              <w:rPr>
                <w:rFonts w:ascii="Calibri" w:hAnsi="Calibri"/>
                <w:sz w:val="22"/>
              </w:rPr>
              <w:t>1 GW signed ESAs; 4 GW target by year-end 2027; 20 GW pipeline</w:t>
            </w:r>
          </w:p>
        </w:tc>
        <w:tc>
          <w:tcPr>
            <w:tcW w:type="dxa" w:w="2160"/>
          </w:tcPr>
          <w:p>
            <w:r>
              <w:rPr>
                <w:rFonts w:ascii="Calibri" w:hAnsi="Calibri"/>
                <w:sz w:val="22"/>
              </w:rPr>
              <w:t>Strong EPS beat driven by rate base growth; positive sector tone</w:t>
            </w:r>
          </w:p>
        </w:tc>
      </w:tr>
      <w:tr>
        <w:tc>
          <w:tcPr>
            <w:tcW w:type="dxa" w:w="2160"/>
          </w:tcPr>
          <w:p>
            <w:r>
              <w:rPr>
                <w:rFonts w:ascii="Calibri" w:hAnsi="Calibri"/>
                <w:sz w:val="22"/>
              </w:rPr>
              <w:t>CMS</w:t>
            </w:r>
          </w:p>
        </w:tc>
        <w:tc>
          <w:tcPr>
            <w:tcW w:type="dxa" w:w="2160"/>
          </w:tcPr>
          <w:p>
            <w:r>
              <w:rPr>
                <w:rFonts w:ascii="Calibri" w:hAnsi="Calibri"/>
                <w:sz w:val="22"/>
              </w:rPr>
              <w:t>Reaffirmed 2026; introduced 2027 guidance of $4.17</w:t>
            </w:r>
          </w:p>
        </w:tc>
        <w:tc>
          <w:tcPr>
            <w:tcW w:type="dxa" w:w="2160"/>
          </w:tcPr>
          <w:p>
            <w:r>
              <w:rPr>
                <w:rFonts w:ascii="Calibri" w:hAnsi="Calibri"/>
                <w:sz w:val="22"/>
              </w:rPr>
              <w:t>First large load tariff agreement reached; 135 MW industrial YTD</w:t>
            </w:r>
          </w:p>
        </w:tc>
        <w:tc>
          <w:tcPr>
            <w:tcW w:type="dxa" w:w="2160"/>
          </w:tcPr>
          <w:p>
            <w:r>
              <w:rPr>
                <w:rFonts w:ascii="Calibri" w:hAnsi="Calibri"/>
                <w:sz w:val="22"/>
              </w:rPr>
              <w:t>$7.50/month/GW residential benefit benchmark; constructive tariff framework</w:t>
            </w:r>
          </w:p>
        </w:tc>
      </w:tr>
    </w:tbl>
    <w:p>
      <w:r>
        <w:rPr>
          <w:rFonts w:ascii="Calibri" w:hAnsi="Calibri"/>
          <w:b/>
          <w:color w:val="525866"/>
          <w:sz w:val="22"/>
        </w:rPr>
        <w:t xml:space="preserve">Overall Peer Read-Through Assessment: </w:t>
      </w:r>
      <w:r>
        <w:rPr>
          <w:rFonts w:ascii="Calibri" w:hAnsi="Calibri"/>
          <w:color w:val="525866"/>
          <w:sz w:val="22"/>
        </w:rPr>
        <w:t>The Q2 2026 peer earnings season is a strong positive read-through for DUK on three dimensions: (1) ESA signing pace — every peer with Southeast/Midwest exposure reported accelerating signings, suggesting DUK’s Q2 2026 update should show continued momentum; (2) regulatory tone — constructive outcomes across the sector (AEP Ohio, AEP PSO, SO South Carolina, Dominion South Carolina) validate DUK’s July 17 NC settlement as market-rate; and (3) earnings trajectory — AEP’s guidance raise and SO/NEE’s top-of-range projections suggest the sector is tracking ahead of plan, a positive backdrop for DUK’s FY2026 guidance reaffirmation. The one risk from peers is the weather headwind (ETR, WEC both noted normal vs. warm-2025 comps), which could weigh on DUK’s Q2 2026 weather-normalized results.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Two open-market sales were filed in the days immediately following Q1 2026 earnings — the CEO sold $2.5M of stock and an EVP sold $445K — both discretionary (no 10b5-1 plan). While post-earnings sales by executives are common, the timing and discretionary nature are worth noting, though the amounts are not unusually large relative to their holdings.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Harry K. Sideris</w:t>
            </w:r>
          </w:p>
        </w:tc>
        <w:tc>
          <w:tcPr>
            <w:tcW w:type="dxa" w:w="1080"/>
          </w:tcPr>
          <w:p>
            <w:r>
              <w:rPr>
                <w:rFonts w:ascii="Calibri" w:hAnsi="Calibri"/>
                <w:sz w:val="22"/>
              </w:rPr>
              <w:t>President, CEO, Director</w:t>
            </w:r>
          </w:p>
        </w:tc>
        <w:tc>
          <w:tcPr>
            <w:tcW w:type="dxa" w:w="1080"/>
          </w:tcPr>
          <w:p>
            <w:r>
              <w:rPr>
                <w:rFonts w:ascii="Calibri" w:hAnsi="Calibri"/>
                <w:sz w:val="22"/>
              </w:rPr>
              <w:t>Open Market Sale</w:t>
            </w:r>
          </w:p>
        </w:tc>
        <w:tc>
          <w:tcPr>
            <w:tcW w:type="dxa" w:w="1080"/>
          </w:tcPr>
          <w:p>
            <w:r>
              <w:rPr>
                <w:rFonts w:ascii="Calibri" w:hAnsi="Calibri"/>
                <w:sz w:val="22"/>
              </w:rPr>
              <w:t>20,000</w:t>
            </w:r>
          </w:p>
        </w:tc>
        <w:tc>
          <w:tcPr>
            <w:tcW w:type="dxa" w:w="1080"/>
          </w:tcPr>
          <w:p>
            <w:r>
              <w:rPr>
                <w:rFonts w:ascii="Calibri" w:hAnsi="Calibri"/>
                <w:sz w:val="22"/>
              </w:rPr>
              <w:t>~$2.5M (at ~$124–$125/share)</w:t>
            </w:r>
          </w:p>
        </w:tc>
        <w:tc>
          <w:tcPr>
            <w:tcW w:type="dxa" w:w="1080"/>
          </w:tcPr>
          <w:p>
            <w:r>
              <w:rPr>
                <w:rFonts w:ascii="Calibri" w:hAnsi="Calibri"/>
                <w:sz w:val="22"/>
              </w:rPr>
              <w:t>May 8, 2026</w:t>
            </w:r>
          </w:p>
        </w:tc>
        <w:tc>
          <w:tcPr>
            <w:tcW w:type="dxa" w:w="1080"/>
          </w:tcPr>
          <w:p>
            <w:r>
              <w:rPr>
                <w:rFonts w:ascii="Calibri" w:hAnsi="Calibri"/>
                <w:sz w:val="22"/>
              </w:rPr>
              <w:t>May 11, 2026</w:t>
            </w:r>
          </w:p>
        </w:tc>
        <w:tc>
          <w:tcPr>
            <w:tcW w:type="dxa" w:w="1080"/>
          </w:tcPr>
          <w:p>
            <w:r>
              <w:rPr>
                <w:rFonts w:ascii="Calibri" w:hAnsi="Calibri"/>
                <w:sz w:val="22"/>
              </w:rPr>
              <w:t>Discretionary sale (no 10b5-1 plan); 3 days post-Q1 earnings. Retained 96,102 shares after sale.</w:t>
            </w:r>
          </w:p>
        </w:tc>
      </w:tr>
      <w:tr>
        <w:tc>
          <w:tcPr>
            <w:tcW w:type="dxa" w:w="1080"/>
          </w:tcPr>
          <w:p>
            <w:r>
              <w:rPr>
                <w:rFonts w:ascii="Calibri" w:hAnsi="Calibri"/>
                <w:sz w:val="22"/>
              </w:rPr>
              <w:t>Louis E. Renjel</w:t>
            </w:r>
          </w:p>
        </w:tc>
        <w:tc>
          <w:tcPr>
            <w:tcW w:type="dxa" w:w="1080"/>
          </w:tcPr>
          <w:p>
            <w:r>
              <w:rPr>
                <w:rFonts w:ascii="Calibri" w:hAnsi="Calibri"/>
                <w:sz w:val="22"/>
              </w:rPr>
              <w:t>EVP &amp; CEO DEF&amp;MW; Chief Corporate Affairs Officer</w:t>
            </w:r>
          </w:p>
        </w:tc>
        <w:tc>
          <w:tcPr>
            <w:tcW w:type="dxa" w:w="1080"/>
          </w:tcPr>
          <w:p>
            <w:r>
              <w:rPr>
                <w:rFonts w:ascii="Calibri" w:hAnsi="Calibri"/>
                <w:sz w:val="22"/>
              </w:rPr>
              <w:t>Open Market Sale</w:t>
            </w:r>
          </w:p>
        </w:tc>
        <w:tc>
          <w:tcPr>
            <w:tcW w:type="dxa" w:w="1080"/>
          </w:tcPr>
          <w:p>
            <w:r>
              <w:rPr>
                <w:rFonts w:ascii="Calibri" w:hAnsi="Calibri"/>
                <w:sz w:val="22"/>
              </w:rPr>
              <w:t>3,500</w:t>
            </w:r>
          </w:p>
        </w:tc>
        <w:tc>
          <w:tcPr>
            <w:tcW w:type="dxa" w:w="1080"/>
          </w:tcPr>
          <w:p>
            <w:r>
              <w:rPr>
                <w:rFonts w:ascii="Calibri" w:hAnsi="Calibri"/>
                <w:sz w:val="22"/>
              </w:rPr>
              <w:t>~$437K (at ~$125/share)</w:t>
            </w:r>
          </w:p>
        </w:tc>
        <w:tc>
          <w:tcPr>
            <w:tcW w:type="dxa" w:w="1080"/>
          </w:tcPr>
          <w:p>
            <w:r>
              <w:rPr>
                <w:rFonts w:ascii="Calibri" w:hAnsi="Calibri"/>
                <w:sz w:val="22"/>
              </w:rPr>
              <w:t>May 11, 2026</w:t>
            </w:r>
          </w:p>
        </w:tc>
        <w:tc>
          <w:tcPr>
            <w:tcW w:type="dxa" w:w="1080"/>
          </w:tcPr>
          <w:p>
            <w:r>
              <w:rPr>
                <w:rFonts w:ascii="Calibri" w:hAnsi="Calibri"/>
                <w:sz w:val="22"/>
              </w:rPr>
              <w:t>May 12, 2026</w:t>
            </w:r>
          </w:p>
        </w:tc>
        <w:tc>
          <w:tcPr>
            <w:tcW w:type="dxa" w:w="1080"/>
          </w:tcPr>
          <w:p>
            <w:r>
              <w:rPr>
                <w:rFonts w:ascii="Calibri" w:hAnsi="Calibri"/>
                <w:sz w:val="22"/>
              </w:rPr>
              <w:t>Discretionary sale (no 10b5-1 plan); 6 days post-Q1 earnings. Retained 21,415 shares after sale.</w:t>
            </w:r>
          </w:p>
        </w:tc>
      </w:tr>
    </w:tbl>
    <w:p>
      <w:r>
        <w:rPr>
          <w:rFonts w:ascii="Calibri" w:hAnsi="Calibri"/>
          <w:i/>
          <w:color w:val="525866"/>
          <w:sz w:val="22"/>
        </w:rPr>
        <w:t>Source: SEC Form 4 Filings Database. Window: May 5, 2026 – August 3, 2026.</w:t>
      </w:r>
    </w:p>
    <w:p>
      <w:r>
        <w:rPr>
          <w:rFonts w:ascii="Calibri" w:hAnsi="Calibri"/>
          <w:b/>
          <w:color w:val="525866"/>
          <w:sz w:val="22"/>
        </w:rPr>
        <w:t xml:space="preserve">Assessment: </w:t>
      </w:r>
      <w:r>
        <w:rPr>
          <w:rFonts w:ascii="Calibri" w:hAnsi="Calibri"/>
          <w:color w:val="525866"/>
          <w:sz w:val="22"/>
        </w:rPr>
        <w:t>Both sales were discretionary (no 10b5-1 plan) and occurred in the days immediately following the Q1 2026 earnings beat, which is a common pattern for executives selling into post-earnings strength. The CEO’s 20,000-share sale represents approximately 17% of his post-sale holdings (96,102 shares), which is a meaningful but not alarming percentage. No open-market purchases were recorded in the period, and no 10b5-1 plan initiations were identified. The absence of any buying activity is neutral — not a negative signal given the stock’s modest post-earnings performance. No insider transactions were filed in the June–August period, suggesting no unusual activity heading into Q2 2026 earnings.</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