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Duke Energy Corporation (DUK)</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Duke Energy Corporation</w:t>
            </w:r>
          </w:p>
        </w:tc>
      </w:tr>
      <w:tr>
        <w:tc>
          <w:tcPr>
            <w:tcW w:type="dxa" w:w="4320"/>
          </w:tcPr>
          <w:p>
            <w:r>
              <w:rPr>
                <w:rFonts w:ascii="Calibri" w:hAnsi="Calibri"/>
                <w:b/>
                <w:sz w:val="22"/>
              </w:rPr>
              <w:t>Ticker</w:t>
            </w:r>
          </w:p>
        </w:tc>
        <w:tc>
          <w:tcPr>
            <w:tcW w:type="dxa" w:w="4320"/>
          </w:tcPr>
          <w:p>
            <w:r>
              <w:rPr>
                <w:rFonts w:ascii="Calibri" w:hAnsi="Calibri"/>
                <w:sz w:val="22"/>
              </w:rPr>
              <w:t>DUK (NYSE)</w:t>
            </w:r>
          </w:p>
        </w:tc>
      </w:tr>
      <w:tr>
        <w:tc>
          <w:tcPr>
            <w:tcW w:type="dxa" w:w="4320"/>
          </w:tcPr>
          <w:p>
            <w:r>
              <w:rPr>
                <w:rFonts w:ascii="Calibri" w:hAnsi="Calibri"/>
                <w:b/>
                <w:sz w:val="22"/>
              </w:rPr>
              <w:t>Upcoming Earnings Date</w:t>
            </w:r>
          </w:p>
        </w:tc>
        <w:tc>
          <w:tcPr>
            <w:tcW w:type="dxa" w:w="4320"/>
          </w:tcPr>
          <w:p>
            <w:r>
              <w:rPr>
                <w:rFonts w:ascii="Calibri" w:hAnsi="Calibri"/>
                <w:sz w:val="22"/>
              </w:rPr>
              <w:t>August 4, 2026 — 10:00 AM ET (Q2 2026 Earnings Call)</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Preparation Date</w:t>
            </w:r>
          </w:p>
        </w:tc>
        <w:tc>
          <w:tcPr>
            <w:tcW w:type="dxa" w:w="4320"/>
          </w:tcPr>
          <w:p>
            <w:r>
              <w:rPr>
                <w:rFonts w:ascii="Calibri" w:hAnsi="Calibri"/>
                <w:sz w:val="22"/>
              </w:rPr>
              <w:t>August 4, 2026</w:t>
            </w:r>
          </w:p>
        </w:tc>
      </w:tr>
      <w:tr>
        <w:tc>
          <w:tcPr>
            <w:tcW w:type="dxa" w:w="4320"/>
          </w:tcPr>
          <w:p>
            <w:r>
              <w:rPr>
                <w:rFonts w:ascii="Calibri" w:hAnsi="Calibri"/>
                <w:b/>
                <w:sz w:val="22"/>
              </w:rPr>
              <w:t>Sector / Sub-Sector</w:t>
            </w:r>
          </w:p>
        </w:tc>
        <w:tc>
          <w:tcPr>
            <w:tcW w:type="dxa" w:w="4320"/>
          </w:tcPr>
          <w:p>
            <w:r>
              <w:rPr>
                <w:rFonts w:ascii="Calibri" w:hAnsi="Calibri"/>
                <w:sz w:val="22"/>
              </w:rPr>
              <w:t>Utilities / Regulated Electric &amp; Gas</w:t>
            </w:r>
          </w:p>
        </w:tc>
      </w:tr>
      <w:tr>
        <w:tc>
          <w:tcPr>
            <w:tcW w:type="dxa" w:w="4320"/>
          </w:tcPr>
          <w:p>
            <w:r>
              <w:rPr>
                <w:rFonts w:ascii="Calibri" w:hAnsi="Calibri"/>
                <w:b/>
                <w:sz w:val="22"/>
              </w:rPr>
              <w:t>Primary Valuation Metric</w:t>
            </w:r>
          </w:p>
        </w:tc>
        <w:tc>
          <w:tcPr>
            <w:tcW w:type="dxa" w:w="4320"/>
          </w:tcPr>
          <w:p>
            <w:r>
              <w:rPr>
                <w:rFonts w:ascii="Calibri" w:hAnsi="Calibri"/>
                <w:sz w:val="22"/>
              </w:rPr>
              <w:t>P/E (NTM) — 17.95x as of August 3,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2026 is modestly constructive — consensus is a manageable bar and the biggest swing factor is the pace of data-center ESA signings and any update to the North Carolina rate case outcome.</w:t>
      </w:r>
    </w:p>
    <w:p>
      <w:r>
        <w:rPr>
          <w:rFonts w:ascii="Calibri" w:hAnsi="Calibri"/>
          <w:color w:val="525866"/>
          <w:sz w:val="22"/>
        </w:rPr>
        <w:t xml:space="preserve">Duke Energy heads into Q2 2026 with a low-to-moderate bar: consensus adjusted EPS of </w:t>
      </w:r>
      <w:r>
        <w:rPr>
          <w:rFonts w:ascii="Calibri" w:hAnsi="Calibri"/>
          <w:b/>
          <w:color w:val="525866"/>
          <w:sz w:val="22"/>
        </w:rPr>
        <w:t>$1.31</w:t>
      </w:r>
      <w:r>
        <w:rPr>
          <w:rFonts w:ascii="Calibri" w:hAnsi="Calibri"/>
          <w:color w:val="525866"/>
          <w:sz w:val="22"/>
        </w:rPr>
        <w:t xml:space="preserve"> is essentially flat with the post-Q1 baseline and has drifted only marginally lower (from ~$1.31 in mid-May to $1.305 today), suggesting the Street has little conviction on direction. Management reaffirmed full-year 2026 guidance of </w:t>
      </w:r>
      <w:r>
        <w:rPr>
          <w:rFonts w:ascii="Calibri" w:hAnsi="Calibri"/>
          <w:b/>
          <w:color w:val="525866"/>
          <w:sz w:val="22"/>
        </w:rPr>
        <w:t>$6.55–$6.80 adjusted EPS</w:t>
      </w:r>
      <w:r>
        <w:rPr>
          <w:rFonts w:ascii="Calibri" w:hAnsi="Calibri"/>
          <w:color w:val="525866"/>
          <w:sz w:val="22"/>
        </w:rPr>
        <w:t xml:space="preserve"> on the Q1 call and expressed confidence in delivering the </w:t>
      </w:r>
      <w:r>
        <w:rPr>
          <w:rFonts w:ascii="Calibri" w:hAnsi="Calibri"/>
          <w:b/>
          <w:color w:val="525866"/>
          <w:sz w:val="22"/>
        </w:rPr>
        <w:t>top half of the 5–7% long-term growth range beginning 2028</w:t>
      </w:r>
      <w:r>
        <w:rPr>
          <w:rFonts w:ascii="Calibri" w:hAnsi="Calibri"/>
          <w:color w:val="525866"/>
          <w:sz w:val="22"/>
        </w:rPr>
        <w:t xml:space="preserve">, a tone that has not shifted since May. Estimate revisions have been essentially flat since the Q1 print, with 2Q26 EPS consensus moving from $1.314 to $1.305 — a negligible ~0.7% drift lower — while FY2026 consensus has similarly edged from $6.733 to $6.714, implying no meaningful revision risk in either direction. The stock has underperformed both XLU and the S&amp;P 500 since the Q1 print (DUK roughly flat-to-down ~2.5% vs. SPY up ~5.5%), with multiple compression across all metrics (NTM P/E contracted from ~18.4x to ~17.95x), suggesting the market is not pricing in a beat. The key wildcard is the </w:t>
      </w:r>
      <w:r>
        <w:rPr>
          <w:rFonts w:ascii="Calibri" w:hAnsi="Calibri"/>
          <w:b/>
          <w:color w:val="525866"/>
          <w:sz w:val="22"/>
        </w:rPr>
        <w:t>North Carolina rate case outcome</w:t>
      </w:r>
      <w:r>
        <w:rPr>
          <w:rFonts w:ascii="Calibri" w:hAnsi="Calibri"/>
          <w:color w:val="525866"/>
          <w:sz w:val="22"/>
        </w:rPr>
        <w:t>: the July 17 comprehensive settlement (9.8% ROE, $496M revenue requirement over two years, effective January 1, 2027) was constructive but below the initial ask, and any management commentary on the NCUC approval timeline or the MYRP2 capital program could move the stock more than the EPS print itself.</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Consensus is a low bar on EPS ($1.31 vs. $1.93 last quarter, reflecting typical Q2 seasonality) and revenue ($7.78B). The bigger swing factor is CapEx execution and any update on ESA signings, which could drive upward revisions to the FY capital plan.</w:t>
      </w:r>
    </w:p>
    <w:p>
      <w:pPr>
        <w:pStyle w:val="Heading2"/>
      </w:pPr>
      <w:r>
        <w:rPr>
          <w:rFonts w:ascii="Calibri" w:hAnsi="Calibri"/>
          <w:b/>
          <w:color w:val="3B4259"/>
          <w:sz w:val="28"/>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 Est.</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FY2026 Guidance</w:t>
            </w:r>
          </w:p>
        </w:tc>
        <w:tc>
          <w:tcPr>
            <w:tcW w:type="dxa" w:w="1234"/>
            <w:shd w:val="clear" w:color="auto" w:fill="3B4259"/>
          </w:tcPr>
          <w:p>
            <w:r>
              <w:rPr>
                <w:rFonts w:ascii="Calibri" w:hAnsi="Calibri"/>
                <w:b/>
                <w:color w:val="FFFFFF"/>
                <w:sz w:val="22"/>
              </w:rPr>
              <w:t>Cons. vs. Guidance Midpoint</w:t>
            </w:r>
          </w:p>
        </w:tc>
      </w:tr>
      <w:tr>
        <w:tc>
          <w:tcPr>
            <w:tcW w:type="dxa" w:w="1234"/>
          </w:tcPr>
          <w:p>
            <w:r>
              <w:rPr>
                <w:rFonts w:ascii="Calibri" w:hAnsi="Calibri"/>
                <w:sz w:val="22"/>
              </w:rPr>
              <w:t>Adjusted EPS (Diluted)</w:t>
            </w:r>
          </w:p>
        </w:tc>
        <w:tc>
          <w:tcPr>
            <w:tcW w:type="dxa" w:w="1234"/>
          </w:tcPr>
          <w:p>
            <w:r>
              <w:rPr>
                <w:rFonts w:ascii="Calibri" w:hAnsi="Calibri"/>
                <w:sz w:val="22"/>
              </w:rPr>
              <w:t>$1.93</w:t>
            </w:r>
          </w:p>
        </w:tc>
        <w:tc>
          <w:tcPr>
            <w:tcW w:type="dxa" w:w="1234"/>
          </w:tcPr>
          <w:p>
            <w:r>
              <w:rPr>
                <w:rFonts w:ascii="Calibri" w:hAnsi="Calibri"/>
                <w:sz w:val="22"/>
              </w:rPr>
              <w:t>$1.25</w:t>
            </w:r>
          </w:p>
        </w:tc>
        <w:tc>
          <w:tcPr>
            <w:tcW w:type="dxa" w:w="1234"/>
          </w:tcPr>
          <w:p>
            <w:r>
              <w:rPr>
                <w:rFonts w:ascii="Calibri" w:hAnsi="Calibri"/>
                <w:sz w:val="22"/>
              </w:rPr>
              <w:t>$1.31</w:t>
            </w:r>
          </w:p>
        </w:tc>
        <w:tc>
          <w:tcPr>
            <w:tcW w:type="dxa" w:w="1234"/>
          </w:tcPr>
          <w:p>
            <w:r>
              <w:rPr>
                <w:rFonts w:ascii="Calibri" w:hAnsi="Calibri"/>
                <w:sz w:val="22"/>
              </w:rPr>
              <w:t>+4.8% YoY</w:t>
            </w:r>
          </w:p>
        </w:tc>
        <w:tc>
          <w:tcPr>
            <w:tcW w:type="dxa" w:w="1234"/>
          </w:tcPr>
          <w:p>
            <w:r>
              <w:rPr>
                <w:rFonts w:ascii="Calibri" w:hAnsi="Calibri"/>
                <w:sz w:val="22"/>
              </w:rPr>
              <w:t>$6.55–$6.80</w:t>
            </w:r>
          </w:p>
        </w:tc>
        <w:tc>
          <w:tcPr>
            <w:tcW w:type="dxa" w:w="1234"/>
          </w:tcPr>
          <w:p>
            <w:r>
              <w:rPr>
                <w:rFonts w:ascii="Calibri" w:hAnsi="Calibri"/>
                <w:sz w:val="22"/>
              </w:rPr>
              <w:t>~$0.07 below midpoint ($6.675)</w:t>
            </w:r>
          </w:p>
        </w:tc>
      </w:tr>
      <w:tr>
        <w:tc>
          <w:tcPr>
            <w:tcW w:type="dxa" w:w="1234"/>
          </w:tcPr>
          <w:p>
            <w:r>
              <w:rPr>
                <w:rFonts w:ascii="Calibri" w:hAnsi="Calibri"/>
                <w:sz w:val="22"/>
              </w:rPr>
              <w:t>Total Operating Revenues</w:t>
            </w:r>
          </w:p>
        </w:tc>
        <w:tc>
          <w:tcPr>
            <w:tcW w:type="dxa" w:w="1234"/>
          </w:tcPr>
          <w:p>
            <w:r>
              <w:rPr>
                <w:rFonts w:ascii="Calibri" w:hAnsi="Calibri"/>
                <w:sz w:val="22"/>
              </w:rPr>
              <w:t>$9.18B</w:t>
            </w:r>
          </w:p>
        </w:tc>
        <w:tc>
          <w:tcPr>
            <w:tcW w:type="dxa" w:w="1234"/>
          </w:tcPr>
          <w:p>
            <w:r>
              <w:rPr>
                <w:rFonts w:ascii="Calibri" w:hAnsi="Calibri"/>
                <w:sz w:val="22"/>
              </w:rPr>
              <w:t>$7.51B</w:t>
            </w:r>
          </w:p>
        </w:tc>
        <w:tc>
          <w:tcPr>
            <w:tcW w:type="dxa" w:w="1234"/>
          </w:tcPr>
          <w:p>
            <w:r>
              <w:rPr>
                <w:rFonts w:ascii="Calibri" w:hAnsi="Calibri"/>
                <w:sz w:val="22"/>
              </w:rPr>
              <w:t>$7.78B</w:t>
            </w:r>
          </w:p>
        </w:tc>
        <w:tc>
          <w:tcPr>
            <w:tcW w:type="dxa" w:w="1234"/>
          </w:tcPr>
          <w:p>
            <w:r>
              <w:rPr>
                <w:rFonts w:ascii="Calibri" w:hAnsi="Calibri"/>
                <w:sz w:val="22"/>
              </w:rPr>
              <w:t>+3.7% YoY</w:t>
            </w:r>
          </w:p>
        </w:tc>
        <w:tc>
          <w:tcPr>
            <w:tcW w:type="dxa" w:w="1234"/>
          </w:tcPr>
          <w:p>
            <w:r>
              <w:rPr>
                <w:rFonts w:ascii="Calibri" w:hAnsi="Calibri"/>
                <w:sz w:val="22"/>
              </w:rPr>
              <w:t>N/A (no quarterly rev. guidance)</w:t>
            </w:r>
          </w:p>
        </w:tc>
        <w:tc>
          <w:tcPr>
            <w:tcW w:type="dxa" w:w="1234"/>
          </w:tcPr>
          <w:p>
            <w:r>
              <w:rPr>
                <w:rFonts w:ascii="Calibri" w:hAnsi="Calibri"/>
                <w:sz w:val="22"/>
              </w:rPr>
              <w:t>N/A</w:t>
            </w:r>
          </w:p>
        </w:tc>
      </w:tr>
      <w:tr>
        <w:tc>
          <w:tcPr>
            <w:tcW w:type="dxa" w:w="1234"/>
          </w:tcPr>
          <w:p>
            <w:r>
              <w:rPr>
                <w:rFonts w:ascii="Calibri" w:hAnsi="Calibri"/>
                <w:sz w:val="22"/>
              </w:rPr>
              <w:t>Capital Expenditures</w:t>
            </w:r>
          </w:p>
        </w:tc>
        <w:tc>
          <w:tcPr>
            <w:tcW w:type="dxa" w:w="1234"/>
          </w:tcPr>
          <w:p>
            <w:r>
              <w:rPr>
                <w:rFonts w:ascii="Calibri" w:hAnsi="Calibri"/>
                <w:sz w:val="22"/>
              </w:rPr>
              <w:t>$4.09B</w:t>
            </w:r>
          </w:p>
        </w:tc>
        <w:tc>
          <w:tcPr>
            <w:tcW w:type="dxa" w:w="1234"/>
          </w:tcPr>
          <w:p>
            <w:r>
              <w:rPr>
                <w:rFonts w:ascii="Calibri" w:hAnsi="Calibri"/>
                <w:sz w:val="22"/>
              </w:rPr>
              <w:t>$3.28B</w:t>
            </w:r>
          </w:p>
        </w:tc>
        <w:tc>
          <w:tcPr>
            <w:tcW w:type="dxa" w:w="1234"/>
          </w:tcPr>
          <w:p>
            <w:r>
              <w:rPr>
                <w:rFonts w:ascii="Calibri" w:hAnsi="Calibri"/>
                <w:sz w:val="22"/>
              </w:rPr>
              <w:t>$4.45B</w:t>
            </w:r>
          </w:p>
        </w:tc>
        <w:tc>
          <w:tcPr>
            <w:tcW w:type="dxa" w:w="1234"/>
          </w:tcPr>
          <w:p>
            <w:r>
              <w:rPr>
                <w:rFonts w:ascii="Calibri" w:hAnsi="Calibri"/>
                <w:sz w:val="22"/>
              </w:rPr>
              <w:t>+35.7% YoY</w:t>
            </w:r>
          </w:p>
        </w:tc>
        <w:tc>
          <w:tcPr>
            <w:tcW w:type="dxa" w:w="1234"/>
          </w:tcPr>
          <w:p>
            <w:r>
              <w:rPr>
                <w:rFonts w:ascii="Calibri" w:hAnsi="Calibri"/>
                <w:sz w:val="22"/>
              </w:rPr>
              <w:t>$103B 5-yr plan (~$17.7B FY2026)</w:t>
            </w:r>
          </w:p>
        </w:tc>
        <w:tc>
          <w:tcPr>
            <w:tcW w:type="dxa" w:w="1234"/>
          </w:tcPr>
          <w:p>
            <w:r>
              <w:rPr>
                <w:rFonts w:ascii="Calibri" w:hAnsi="Calibri"/>
                <w:sz w:val="22"/>
              </w:rPr>
              <w:t>~$0.7B below FY run-rate</w:t>
            </w:r>
          </w:p>
        </w:tc>
      </w:tr>
      <w:tr>
        <w:tc>
          <w:tcPr>
            <w:tcW w:type="dxa" w:w="1234"/>
          </w:tcPr>
          <w:p>
            <w:r>
              <w:rPr>
                <w:rFonts w:ascii="Calibri" w:hAnsi="Calibri"/>
                <w:sz w:val="22"/>
              </w:rPr>
              <w:t>FFO / Total Debt</w:t>
            </w:r>
          </w:p>
        </w:tc>
        <w:tc>
          <w:tcPr>
            <w:tcW w:type="dxa" w:w="1234"/>
          </w:tcPr>
          <w:p>
            <w:r>
              <w:rPr>
                <w:rFonts w:ascii="Calibri" w:hAnsi="Calibri"/>
                <w:sz w:val="22"/>
              </w:rPr>
              <w:t>14.5% (FY target)</w:t>
            </w:r>
          </w:p>
        </w:tc>
        <w:tc>
          <w:tcPr>
            <w:tcW w:type="dxa" w:w="1234"/>
          </w:tcPr>
          <w:p>
            <w:r>
              <w:rPr>
                <w:rFonts w:ascii="Calibri" w:hAnsi="Calibri"/>
                <w:sz w:val="22"/>
              </w:rPr>
              <w:t>14.1% (LTM Q2 2025)</w:t>
            </w:r>
          </w:p>
        </w:tc>
        <w:tc>
          <w:tcPr>
            <w:tcW w:type="dxa" w:w="1234"/>
          </w:tcPr>
          <w:p>
            <w:r>
              <w:rPr>
                <w:rFonts w:ascii="Calibri" w:hAnsi="Calibri"/>
                <w:sz w:val="22"/>
              </w:rPr>
              <w:t>13.8% (Q2 2026 cons.)</w:t>
            </w:r>
          </w:p>
        </w:tc>
        <w:tc>
          <w:tcPr>
            <w:tcW w:type="dxa" w:w="1234"/>
          </w:tcPr>
          <w:p>
            <w:r>
              <w:rPr>
                <w:rFonts w:ascii="Calibri" w:hAnsi="Calibri"/>
                <w:sz w:val="22"/>
              </w:rPr>
              <w:t>N/A (quarterly)</w:t>
            </w:r>
          </w:p>
        </w:tc>
        <w:tc>
          <w:tcPr>
            <w:tcW w:type="dxa" w:w="1234"/>
          </w:tcPr>
          <w:p>
            <w:r>
              <w:rPr>
                <w:rFonts w:ascii="Calibri" w:hAnsi="Calibri"/>
                <w:sz w:val="22"/>
              </w:rPr>
              <w:t>14.5% FY2026; 15% LT</w:t>
            </w:r>
          </w:p>
        </w:tc>
        <w:tc>
          <w:tcPr>
            <w:tcW w:type="dxa" w:w="1234"/>
          </w:tcPr>
          <w:p>
            <w:r>
              <w:rPr>
                <w:rFonts w:ascii="Calibri" w:hAnsi="Calibri"/>
                <w:sz w:val="22"/>
              </w:rPr>
              <w:t>~70bps below FY target</w:t>
            </w:r>
          </w:p>
        </w:tc>
      </w:tr>
    </w:tbl>
    <w:p>
      <w:r>
        <w:rPr>
          <w:rFonts w:ascii="Calibri" w:hAnsi="Calibri"/>
          <w:b/>
          <w:color w:val="525866"/>
          <w:sz w:val="22"/>
        </w:rPr>
        <w:t xml:space="preserve">Sources: </w:t>
      </w:r>
      <w:r>
        <w:rPr>
          <w:rFonts w:ascii="Calibri" w:hAnsi="Calibri"/>
          <w:color w:val="525866"/>
          <w:sz w:val="22"/>
        </w:rPr>
        <w:t>Visible Alpha Consensus and Actuals Data (EPS, Revenue, CapEx, FFO/Debt); DUK Q1 2026 Earnings Call (May 5, 2026) for guidance figures.</w:t>
      </w:r>
    </w:p>
    <w:p>
      <w:pPr>
        <w:pStyle w:val="Heading2"/>
      </w:pPr>
      <w:r>
        <w:rPr>
          <w:rFonts w:ascii="Calibri" w:hAnsi="Calibri"/>
          <w:b/>
          <w:color w:val="3B4259"/>
          <w:sz w:val="28"/>
        </w:rPr>
        <w:t>Table 2 — Beat / Miss History (Last 8 Quarters, Adjusted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Adj. EPS</w:t>
            </w:r>
          </w:p>
        </w:tc>
        <w:tc>
          <w:tcPr>
            <w:tcW w:type="dxa" w:w="1728"/>
            <w:shd w:val="clear" w:color="auto" w:fill="3B4259"/>
          </w:tcPr>
          <w:p>
            <w:r>
              <w:rPr>
                <w:rFonts w:ascii="Calibri" w:hAnsi="Calibri"/>
                <w:b/>
                <w:color w:val="FFFFFF"/>
                <w:sz w:val="22"/>
              </w:rPr>
              <w:t>Consensus Est.</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Q3 2024</w:t>
            </w:r>
          </w:p>
        </w:tc>
        <w:tc>
          <w:tcPr>
            <w:tcW w:type="dxa" w:w="1728"/>
          </w:tcPr>
          <w:p>
            <w:r>
              <w:rPr>
                <w:rFonts w:ascii="Calibri" w:hAnsi="Calibri"/>
                <w:sz w:val="22"/>
              </w:rPr>
              <w:t>$1.62</w:t>
            </w:r>
          </w:p>
        </w:tc>
        <w:tc>
          <w:tcPr>
            <w:tcW w:type="dxa" w:w="1728"/>
          </w:tcPr>
          <w:p>
            <w:r>
              <w:rPr>
                <w:rFonts w:ascii="Calibri" w:hAnsi="Calibri"/>
                <w:sz w:val="22"/>
              </w:rPr>
              <w:t>$1.72</w:t>
            </w:r>
          </w:p>
        </w:tc>
        <w:tc>
          <w:tcPr>
            <w:tcW w:type="dxa" w:w="1728"/>
          </w:tcPr>
          <w:p>
            <w:r>
              <w:rPr>
                <w:rFonts w:ascii="Calibri" w:hAnsi="Calibri"/>
                <w:sz w:val="22"/>
              </w:rPr>
              <w:t>-5.8%</w:t>
            </w:r>
          </w:p>
        </w:tc>
        <w:tc>
          <w:tcPr>
            <w:tcW w:type="dxa" w:w="1728"/>
          </w:tcPr>
          <w:p>
            <w:r>
              <w:rPr>
                <w:rFonts w:ascii="Calibri" w:hAnsi="Calibri"/>
                <w:b/>
                <w:color w:val="E5484D"/>
                <w:sz w:val="22"/>
              </w:rPr>
              <w:t>Miss</w:t>
            </w:r>
          </w:p>
        </w:tc>
      </w:tr>
      <w:tr>
        <w:tc>
          <w:tcPr>
            <w:tcW w:type="dxa" w:w="1728"/>
          </w:tcPr>
          <w:p>
            <w:r>
              <w:rPr>
                <w:rFonts w:ascii="Calibri" w:hAnsi="Calibri"/>
                <w:sz w:val="22"/>
              </w:rPr>
              <w:t>Q4 2024</w:t>
            </w:r>
          </w:p>
        </w:tc>
        <w:tc>
          <w:tcPr>
            <w:tcW w:type="dxa" w:w="1728"/>
          </w:tcPr>
          <w:p>
            <w:r>
              <w:rPr>
                <w:rFonts w:ascii="Calibri" w:hAnsi="Calibri"/>
                <w:sz w:val="22"/>
              </w:rPr>
              <w:t>$1.66</w:t>
            </w:r>
          </w:p>
        </w:tc>
        <w:tc>
          <w:tcPr>
            <w:tcW w:type="dxa" w:w="1728"/>
          </w:tcPr>
          <w:p>
            <w:r>
              <w:rPr>
                <w:rFonts w:ascii="Calibri" w:hAnsi="Calibri"/>
                <w:sz w:val="22"/>
              </w:rPr>
              <w:t>$1.64</w:t>
            </w:r>
          </w:p>
        </w:tc>
        <w:tc>
          <w:tcPr>
            <w:tcW w:type="dxa" w:w="1728"/>
          </w:tcPr>
          <w:p>
            <w:r>
              <w:rPr>
                <w:rFonts w:ascii="Calibri" w:hAnsi="Calibri"/>
                <w:sz w:val="22"/>
              </w:rPr>
              <w:t>+1.5%</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$1.76</w:t>
            </w:r>
          </w:p>
        </w:tc>
        <w:tc>
          <w:tcPr>
            <w:tcW w:type="dxa" w:w="1728"/>
          </w:tcPr>
          <w:p>
            <w:r>
              <w:rPr>
                <w:rFonts w:ascii="Calibri" w:hAnsi="Calibri"/>
                <w:sz w:val="22"/>
              </w:rPr>
              <w:t>$1.59</w:t>
            </w:r>
          </w:p>
        </w:tc>
        <w:tc>
          <w:tcPr>
            <w:tcW w:type="dxa" w:w="1728"/>
          </w:tcPr>
          <w:p>
            <w:r>
              <w:rPr>
                <w:rFonts w:ascii="Calibri" w:hAnsi="Calibri"/>
                <w:sz w:val="22"/>
              </w:rPr>
              <w:t>+10.7%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$1.25</w:t>
            </w:r>
          </w:p>
        </w:tc>
        <w:tc>
          <w:tcPr>
            <w:tcW w:type="dxa" w:w="1728"/>
          </w:tcPr>
          <w:p>
            <w:r>
              <w:rPr>
                <w:rFonts w:ascii="Calibri" w:hAnsi="Calibri"/>
                <w:sz w:val="22"/>
              </w:rPr>
              <w:t>$1.17</w:t>
            </w:r>
          </w:p>
        </w:tc>
        <w:tc>
          <w:tcPr>
            <w:tcW w:type="dxa" w:w="1728"/>
          </w:tcPr>
          <w:p>
            <w:r>
              <w:rPr>
                <w:rFonts w:ascii="Calibri" w:hAnsi="Calibri"/>
                <w:sz w:val="22"/>
              </w:rPr>
              <w:t>+6.5%</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$1.81</w:t>
            </w:r>
          </w:p>
        </w:tc>
        <w:tc>
          <w:tcPr>
            <w:tcW w:type="dxa" w:w="1728"/>
          </w:tcPr>
          <w:p>
            <w:r>
              <w:rPr>
                <w:rFonts w:ascii="Calibri" w:hAnsi="Calibri"/>
                <w:sz w:val="22"/>
              </w:rPr>
              <w:t>$1.75</w:t>
            </w:r>
          </w:p>
        </w:tc>
        <w:tc>
          <w:tcPr>
            <w:tcW w:type="dxa" w:w="1728"/>
          </w:tcPr>
          <w:p>
            <w:r>
              <w:rPr>
                <w:rFonts w:ascii="Calibri" w:hAnsi="Calibri"/>
                <w:sz w:val="22"/>
              </w:rPr>
              <w:t>+3.4%</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$1.50</w:t>
            </w:r>
          </w:p>
        </w:tc>
        <w:tc>
          <w:tcPr>
            <w:tcW w:type="dxa" w:w="1728"/>
          </w:tcPr>
          <w:p>
            <w:r>
              <w:rPr>
                <w:rFonts w:ascii="Calibri" w:hAnsi="Calibri"/>
                <w:sz w:val="22"/>
              </w:rPr>
              <w:t>$1.53</w:t>
            </w:r>
          </w:p>
        </w:tc>
        <w:tc>
          <w:tcPr>
            <w:tcW w:type="dxa" w:w="1728"/>
          </w:tcPr>
          <w:p>
            <w:r>
              <w:rPr>
                <w:rFonts w:ascii="Calibri" w:hAnsi="Calibri"/>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Q1 2026</w:t>
            </w:r>
          </w:p>
        </w:tc>
        <w:tc>
          <w:tcPr>
            <w:tcW w:type="dxa" w:w="1728"/>
          </w:tcPr>
          <w:p>
            <w:r>
              <w:rPr>
                <w:rFonts w:ascii="Calibri" w:hAnsi="Calibri"/>
                <w:sz w:val="22"/>
              </w:rPr>
              <w:t>$1.93</w:t>
            </w:r>
          </w:p>
        </w:tc>
        <w:tc>
          <w:tcPr>
            <w:tcW w:type="dxa" w:w="1728"/>
          </w:tcPr>
          <w:p>
            <w:r>
              <w:rPr>
                <w:rFonts w:ascii="Calibri" w:hAnsi="Calibri"/>
                <w:sz w:val="22"/>
              </w:rPr>
              <w:t>$1.87</w:t>
            </w:r>
          </w:p>
        </w:tc>
        <w:tc>
          <w:tcPr>
            <w:tcW w:type="dxa" w:w="1728"/>
          </w:tcPr>
          <w:p>
            <w:r>
              <w:rPr>
                <w:rFonts w:ascii="Calibri" w:hAnsi="Calibri"/>
                <w:sz w:val="22"/>
              </w:rPr>
              <w:t>+3.2%</w:t>
            </w:r>
          </w:p>
        </w:tc>
        <w:tc>
          <w:tcPr>
            <w:tcW w:type="dxa" w:w="1728"/>
          </w:tcPr>
          <w:p>
            <w:r>
              <w:rPr>
                <w:rFonts w:ascii="Calibri" w:hAnsi="Calibri"/>
                <w:b/>
                <w:color w:val="30A46C"/>
                <w:sz w:val="22"/>
              </w:rPr>
              <w:t>Beat</w:t>
            </w:r>
          </w:p>
        </w:tc>
      </w:tr>
      <w:tr>
        <w:tc>
          <w:tcPr>
            <w:tcW w:type="dxa" w:w="1728"/>
          </w:tcPr>
          <w:p>
            <w:r>
              <w:rPr>
                <w:rFonts w:ascii="Calibri" w:hAnsi="Calibri"/>
                <w:b/>
                <w:sz w:val="22"/>
              </w:rPr>
              <w:t>Q2 2026 (Est.)</w:t>
            </w:r>
          </w:p>
        </w:tc>
        <w:tc>
          <w:tcPr>
            <w:tcW w:type="dxa" w:w="1728"/>
          </w:tcPr>
          <w:p>
            <w:r>
              <w:rPr>
                <w:rFonts w:ascii="Calibri" w:hAnsi="Calibri"/>
                <w:sz w:val="22"/>
              </w:rPr>
              <w:t>—</w:t>
            </w:r>
          </w:p>
        </w:tc>
        <w:tc>
          <w:tcPr>
            <w:tcW w:type="dxa" w:w="1728"/>
          </w:tcPr>
          <w:p>
            <w:r>
              <w:rPr>
                <w:rFonts w:ascii="Calibri" w:hAnsi="Calibri"/>
                <w:sz w:val="22"/>
              </w:rPr>
              <w:t>$1.31</w:t>
            </w:r>
          </w:p>
        </w:tc>
        <w:tc>
          <w:tcPr>
            <w:tcW w:type="dxa" w:w="1728"/>
          </w:tcPr>
          <w:p>
            <w:r>
              <w:rPr>
                <w:rFonts w:ascii="Calibri" w:hAnsi="Calibri"/>
                <w:sz w:val="22"/>
              </w:rPr>
              <w:t>—</w:t>
            </w:r>
          </w:p>
        </w:tc>
        <w:tc>
          <w:tcPr>
            <w:tcW w:type="dxa" w:w="1728"/>
          </w:tcPr>
          <w:p>
            <w:r>
              <w:rPr>
                <w:rFonts w:ascii="Calibri" w:hAnsi="Calibri"/>
                <w:sz w:val="22"/>
              </w:rPr>
              <w:t>Upcoming</w:t>
            </w:r>
          </w:p>
        </w:tc>
      </w:tr>
    </w:tbl>
    <w:p>
      <w:r>
        <w:rPr>
          <w:rFonts w:ascii="Calibri" w:hAnsi="Calibri"/>
          <w:b/>
          <w:color w:val="525866"/>
          <w:sz w:val="22"/>
        </w:rPr>
        <w:t xml:space="preserve">Pattern: </w:t>
      </w:r>
      <w:r>
        <w:rPr>
          <w:rFonts w:ascii="Calibri" w:hAnsi="Calibri"/>
          <w:color w:val="525866"/>
          <w:sz w:val="22"/>
        </w:rPr>
        <w:t>DUK has beaten adjusted EPS consensus in 5 of the last 7 reported quarters, with the two misses concentrated in seasonally weaker periods (Q3 2024, Q4 2025); the beat rate in Q2 specifically is 100% over the last two years, suggesting the bar is typically set conservatively for the summer quarter.</w:t>
      </w:r>
    </w:p>
    <w:p>
      <w:r>
        <w:rPr>
          <w:rFonts w:ascii="Calibri" w:hAnsi="Calibri"/>
          <w:b/>
          <w:color w:val="525866"/>
          <w:sz w:val="22"/>
        </w:rPr>
        <w:t xml:space="preserve">Source: </w:t>
      </w:r>
      <w:r>
        <w:rPr>
          <w:rFonts w:ascii="Calibri" w:hAnsi="Calibri"/>
          <w:color w:val="525866"/>
          <w:sz w:val="22"/>
        </w:rPr>
        <w:t>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FY2026 EPS guidance is unchanged since the Q1 print; the most significant post-earnings development is the July 17 comprehensive North Carolina rate settlement, which is constructive but below the initial ask and introduces ~$40M in one-time charges (excluded from adjusted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Adjusted EPS</w:t>
            </w:r>
          </w:p>
        </w:tc>
        <w:tc>
          <w:tcPr>
            <w:tcW w:type="dxa" w:w="1728"/>
          </w:tcPr>
          <w:p>
            <w:r>
              <w:rPr>
                <w:rFonts w:ascii="Calibri" w:hAnsi="Calibri"/>
                <w:sz w:val="22"/>
              </w:rPr>
              <w:t>$6.55–$6.80</w:t>
            </w:r>
          </w:p>
        </w:tc>
        <w:tc>
          <w:tcPr>
            <w:tcW w:type="dxa" w:w="1728"/>
          </w:tcPr>
          <w:p>
            <w:r>
              <w:rPr>
                <w:rFonts w:ascii="Calibri" w:hAnsi="Calibri"/>
                <w:sz w:val="22"/>
              </w:rPr>
              <w:t>Unchanged</w:t>
            </w:r>
          </w:p>
        </w:tc>
        <w:tc>
          <w:tcPr>
            <w:tcW w:type="dxa" w:w="1728"/>
          </w:tcPr>
          <w:p>
            <w:r>
              <w:rPr>
                <w:rFonts w:ascii="Calibri" w:hAnsi="Calibri"/>
                <w:sz w:val="22"/>
              </w:rPr>
              <w:t>$6.71</w:t>
            </w:r>
          </w:p>
        </w:tc>
        <w:tc>
          <w:tcPr>
            <w:tcW w:type="dxa" w:w="1728"/>
          </w:tcPr>
          <w:p>
            <w:r>
              <w:rPr>
                <w:rFonts w:ascii="Calibri" w:hAnsi="Calibri"/>
                <w:sz w:val="22"/>
              </w:rPr>
              <w:t>Reaffirmed on Q1 call; no post-earnings update. Consensus sits near low end of range.</w:t>
            </w:r>
          </w:p>
        </w:tc>
      </w:tr>
      <w:tr>
        <w:tc>
          <w:tcPr>
            <w:tcW w:type="dxa" w:w="1728"/>
          </w:tcPr>
          <w:p>
            <w:r>
              <w:rPr>
                <w:rFonts w:ascii="Calibri" w:hAnsi="Calibri"/>
                <w:sz w:val="22"/>
              </w:rPr>
              <w:t>LT EPS Growth Rate</w:t>
            </w:r>
          </w:p>
        </w:tc>
        <w:tc>
          <w:tcPr>
            <w:tcW w:type="dxa" w:w="1728"/>
          </w:tcPr>
          <w:p>
            <w:r>
              <w:rPr>
                <w:rFonts w:ascii="Calibri" w:hAnsi="Calibri"/>
                <w:sz w:val="22"/>
              </w:rPr>
              <w:t>5–7% through 2030; top half of range from 2028</w:t>
            </w:r>
          </w:p>
        </w:tc>
        <w:tc>
          <w:tcPr>
            <w:tcW w:type="dxa" w:w="1728"/>
          </w:tcPr>
          <w:p>
            <w:r>
              <w:rPr>
                <w:rFonts w:ascii="Calibri" w:hAnsi="Calibri"/>
                <w:sz w:val="22"/>
              </w:rPr>
              <w:t>Unchanged</w:t>
            </w:r>
          </w:p>
        </w:tc>
        <w:tc>
          <w:tcPr>
            <w:tcW w:type="dxa" w:w="1728"/>
          </w:tcPr>
          <w:p>
            <w:r>
              <w:rPr>
                <w:rFonts w:ascii="Calibri" w:hAnsi="Calibri"/>
                <w:sz w:val="22"/>
              </w:rPr>
              <w:t>N/A</w:t>
            </w:r>
          </w:p>
        </w:tc>
        <w:tc>
          <w:tcPr>
            <w:tcW w:type="dxa" w:w="1728"/>
          </w:tcPr>
          <w:p>
            <w:r>
              <w:rPr>
                <w:rFonts w:ascii="Calibri" w:hAnsi="Calibri"/>
                <w:sz w:val="22"/>
              </w:rPr>
              <w:t>Confidence in top half of range from 2028 reiterated; driven by ESA ramp.</w:t>
            </w:r>
          </w:p>
        </w:tc>
      </w:tr>
      <w:tr>
        <w:tc>
          <w:tcPr>
            <w:tcW w:type="dxa" w:w="1728"/>
          </w:tcPr>
          <w:p>
            <w:r>
              <w:rPr>
                <w:rFonts w:ascii="Calibri" w:hAnsi="Calibri"/>
                <w:sz w:val="22"/>
              </w:rPr>
              <w:t>FFO / Total Debt</w:t>
            </w:r>
          </w:p>
        </w:tc>
        <w:tc>
          <w:tcPr>
            <w:tcW w:type="dxa" w:w="1728"/>
          </w:tcPr>
          <w:p>
            <w:r>
              <w:rPr>
                <w:rFonts w:ascii="Calibri" w:hAnsi="Calibri"/>
                <w:sz w:val="22"/>
              </w:rPr>
              <w:t>14.5% FY2026; 15% long-term</w:t>
            </w:r>
          </w:p>
        </w:tc>
        <w:tc>
          <w:tcPr>
            <w:tcW w:type="dxa" w:w="1728"/>
          </w:tcPr>
          <w:p>
            <w:r>
              <w:rPr>
                <w:rFonts w:ascii="Calibri" w:hAnsi="Calibri"/>
                <w:sz w:val="22"/>
              </w:rPr>
              <w:t>Unchanged</w:t>
            </w:r>
          </w:p>
        </w:tc>
        <w:tc>
          <w:tcPr>
            <w:tcW w:type="dxa" w:w="1728"/>
          </w:tcPr>
          <w:p>
            <w:r>
              <w:rPr>
                <w:rFonts w:ascii="Calibri" w:hAnsi="Calibri"/>
                <w:sz w:val="22"/>
              </w:rPr>
              <w:t>13.8% (Q2 cons.)</w:t>
            </w:r>
          </w:p>
        </w:tc>
        <w:tc>
          <w:tcPr>
            <w:tcW w:type="dxa" w:w="1728"/>
          </w:tcPr>
          <w:p>
            <w:r>
              <w:rPr>
                <w:rFonts w:ascii="Calibri" w:hAnsi="Calibri"/>
                <w:sz w:val="22"/>
              </w:rPr>
              <w:t>On track per Q1 commentary; Q2 quarterly metric below FY target due to seasonality.</w:t>
            </w:r>
          </w:p>
        </w:tc>
      </w:tr>
      <w:tr>
        <w:tc>
          <w:tcPr>
            <w:tcW w:type="dxa" w:w="1728"/>
          </w:tcPr>
          <w:p>
            <w:r>
              <w:rPr>
                <w:rFonts w:ascii="Calibri" w:hAnsi="Calibri"/>
                <w:sz w:val="22"/>
              </w:rPr>
              <w:t>5-Year Capital Plan</w:t>
            </w:r>
          </w:p>
        </w:tc>
        <w:tc>
          <w:tcPr>
            <w:tcW w:type="dxa" w:w="1728"/>
          </w:tcPr>
          <w:p>
            <w:r>
              <w:rPr>
                <w:rFonts w:ascii="Calibri" w:hAnsi="Calibri"/>
                <w:sz w:val="22"/>
              </w:rPr>
              <w:t>$103B (2026–2030)</w:t>
            </w:r>
          </w:p>
        </w:tc>
        <w:tc>
          <w:tcPr>
            <w:tcW w:type="dxa" w:w="1728"/>
          </w:tcPr>
          <w:p>
            <w:r>
              <w:rPr>
                <w:rFonts w:ascii="Calibri" w:hAnsi="Calibri"/>
                <w:sz w:val="22"/>
              </w:rPr>
              <w:t>Unchanged</w:t>
            </w:r>
          </w:p>
        </w:tc>
        <w:tc>
          <w:tcPr>
            <w:tcW w:type="dxa" w:w="1728"/>
          </w:tcPr>
          <w:p>
            <w:r>
              <w:rPr>
                <w:rFonts w:ascii="Calibri" w:hAnsi="Calibri"/>
                <w:sz w:val="22"/>
              </w:rPr>
              <w:t>$17.7B FY2026 cons.</w:t>
            </w:r>
          </w:p>
        </w:tc>
        <w:tc>
          <w:tcPr>
            <w:tcW w:type="dxa" w:w="1728"/>
          </w:tcPr>
          <w:p>
            <w:r>
              <w:rPr>
                <w:rFonts w:ascii="Calibri" w:hAnsi="Calibri"/>
                <w:sz w:val="22"/>
              </w:rPr>
              <w:t>No formal revision post-Q1; watch for update on Q2 call given ESA pipeline growth.</w:t>
            </w:r>
          </w:p>
        </w:tc>
      </w:tr>
      <w:tr>
        <w:tc>
          <w:tcPr>
            <w:tcW w:type="dxa" w:w="1728"/>
          </w:tcPr>
          <w:p>
            <w:r>
              <w:rPr>
                <w:rFonts w:ascii="Calibri" w:hAnsi="Calibri"/>
                <w:sz w:val="22"/>
              </w:rPr>
              <w:t>NC Rate Case — DEC Revenue Requirement</w:t>
            </w:r>
          </w:p>
        </w:tc>
        <w:tc>
          <w:tcPr>
            <w:tcW w:type="dxa" w:w="1728"/>
          </w:tcPr>
          <w:p>
            <w:r>
              <w:rPr>
                <w:rFonts w:ascii="Calibri" w:hAnsi="Calibri"/>
                <w:sz w:val="22"/>
              </w:rPr>
              <w:t>Initial ask: ~$1,002M (15.0% increase); revised to ~$622M (9.3%) in June rebuttal</w:t>
            </w:r>
          </w:p>
        </w:tc>
        <w:tc>
          <w:tcPr>
            <w:tcW w:type="dxa" w:w="1728"/>
          </w:tcPr>
          <w:p>
            <w:r>
              <w:rPr>
                <w:rFonts w:ascii="Calibri" w:hAnsi="Calibri"/>
                <w:sz w:val="22"/>
              </w:rPr>
              <w:t>↑ Comprehensive Settlement filed July 17, 2026: $496M over 2 years (avg. 3.7%/yr); 9.8% ROE; $25.7B rate base; MYRP capital $3.8B (NC retail). One-time pre-tax charges ~$40M in 2026 (excluded from adj. EPS).</w:t>
            </w:r>
          </w:p>
        </w:tc>
        <w:tc>
          <w:tcPr>
            <w:tcW w:type="dxa" w:w="1728"/>
          </w:tcPr>
          <w:p>
            <w:r>
              <w:rPr>
                <w:rFonts w:ascii="Calibri" w:hAnsi="Calibri"/>
                <w:sz w:val="22"/>
              </w:rPr>
              <w:t>N/A</w:t>
            </w:r>
          </w:p>
        </w:tc>
        <w:tc>
          <w:tcPr>
            <w:tcW w:type="dxa" w:w="1728"/>
          </w:tcPr>
          <w:p>
            <w:r>
              <w:rPr>
                <w:rFonts w:ascii="Calibri" w:hAnsi="Calibri"/>
                <w:sz w:val="22"/>
              </w:rPr>
              <w:t>↓ Settlement below initial ask but constructive; NCUC approval pending. Year 1 rates effective Jan 1, 2027. MYRP2 capital disputes resolved; ROE of 9.8% vs. 10.95% initial request.</w:t>
            </w:r>
          </w:p>
        </w:tc>
      </w:tr>
      <w:tr>
        <w:tc>
          <w:tcPr>
            <w:tcW w:type="dxa" w:w="1728"/>
          </w:tcPr>
          <w:p>
            <w:r>
              <w:rPr>
                <w:rFonts w:ascii="Calibri" w:hAnsi="Calibri"/>
                <w:sz w:val="22"/>
              </w:rPr>
              <w:t>ESA Signings (Data Centers)</w:t>
            </w:r>
          </w:p>
        </w:tc>
        <w:tc>
          <w:tcPr>
            <w:tcW w:type="dxa" w:w="1728"/>
          </w:tcPr>
          <w:p>
            <w:r>
              <w:rPr>
                <w:rFonts w:ascii="Calibri" w:hAnsi="Calibri"/>
                <w:sz w:val="22"/>
              </w:rPr>
              <w:t>~7.6 GW total signed; 2.7 GW added in Q1 2026 alone; ~2/3 under construction</w:t>
            </w:r>
          </w:p>
        </w:tc>
        <w:tc>
          <w:tcPr>
            <w:tcW w:type="dxa" w:w="1728"/>
          </w:tcPr>
          <w:p>
            <w:r>
              <w:rPr>
                <w:rFonts w:ascii="Calibri" w:hAnsi="Calibri"/>
                <w:sz w:val="22"/>
              </w:rPr>
              <w:t>Unchanged (no post-Q1 update disclosed)</w:t>
            </w:r>
          </w:p>
        </w:tc>
        <w:tc>
          <w:tcPr>
            <w:tcW w:type="dxa" w:w="1728"/>
          </w:tcPr>
          <w:p>
            <w:r>
              <w:rPr>
                <w:rFonts w:ascii="Calibri" w:hAnsi="Calibri"/>
                <w:sz w:val="22"/>
              </w:rPr>
              <w:t>N/A</w:t>
            </w:r>
          </w:p>
        </w:tc>
        <w:tc>
          <w:tcPr>
            <w:tcW w:type="dxa" w:w="1728"/>
          </w:tcPr>
          <w:p>
            <w:r>
              <w:rPr>
                <w:rFonts w:ascii="Calibri" w:hAnsi="Calibri"/>
                <w:sz w:val="22"/>
              </w:rPr>
              <w:t>Late-stage pipeline at 15.4 GW. Watch for Q2 ESA update — key catalyst.</w:t>
            </w:r>
          </w:p>
        </w:tc>
      </w:tr>
    </w:tbl>
    <w:p>
      <w:r>
        <w:rPr>
          <w:rFonts w:ascii="Calibri" w:hAnsi="Calibri"/>
          <w:b/>
          <w:color w:val="525866"/>
          <w:sz w:val="22"/>
        </w:rPr>
        <w:t xml:space="preserve">Sources: </w:t>
      </w:r>
      <w:r>
        <w:rPr>
          <w:rFonts w:ascii="Calibri" w:hAnsi="Calibri"/>
          <w:color w:val="525866"/>
          <w:sz w:val="22"/>
        </w:rPr>
        <w:t>DUK Q1 2026 Earnings Call transcript (May 5, 2026); DUK 8-K / Rate Case Stipulation (July 2, 2026); DUK 8-K / Comprehensive Rate Settlement (July 17,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2026 EPS consensus drifted only ~0.7% lower and FY2026 EPS ~0.3% lower — suggesting the Street is in a holding pattern ahead of the print. The gap between consensus and the guidance midpoint is modest, implying limited revision risk in either direction.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11, 2026)</w:t>
            </w:r>
          </w:p>
        </w:tc>
        <w:tc>
          <w:tcPr>
            <w:tcW w:type="dxa" w:w="1080"/>
            <w:shd w:val="clear" w:color="auto" w:fill="3B4259"/>
          </w:tcPr>
          <w:p>
            <w:r>
              <w:rPr>
                <w:rFonts w:ascii="Calibri" w:hAnsi="Calibri"/>
                <w:b/>
                <w:color w:val="FFFFFF"/>
                <w:sz w:val="22"/>
              </w:rPr>
              <w:t>Current Consensus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 vs. Guidance (%)</w:t>
            </w:r>
          </w:p>
        </w:tc>
      </w:tr>
      <w:tr>
        <w:tc>
          <w:tcPr>
            <w:tcW w:type="dxa" w:w="1080"/>
          </w:tcPr>
          <w:p>
            <w:r>
              <w:rPr>
                <w:rFonts w:ascii="Calibri" w:hAnsi="Calibri"/>
                <w:sz w:val="22"/>
              </w:rPr>
              <w:t>Adj. EPS — Q2 2026</w:t>
            </w:r>
          </w:p>
        </w:tc>
        <w:tc>
          <w:tcPr>
            <w:tcW w:type="dxa" w:w="1080"/>
          </w:tcPr>
          <w:p>
            <w:r>
              <w:rPr>
                <w:rFonts w:ascii="Calibri" w:hAnsi="Calibri"/>
                <w:sz w:val="22"/>
              </w:rPr>
              <w:t>$1.314</w:t>
            </w:r>
          </w:p>
        </w:tc>
        <w:tc>
          <w:tcPr>
            <w:tcW w:type="dxa" w:w="1080"/>
          </w:tcPr>
          <w:p>
            <w:r>
              <w:rPr>
                <w:rFonts w:ascii="Calibri" w:hAnsi="Calibri"/>
                <w:sz w:val="22"/>
              </w:rPr>
              <w:t>$1.305</w:t>
            </w:r>
          </w:p>
        </w:tc>
        <w:tc>
          <w:tcPr>
            <w:tcW w:type="dxa" w:w="1080"/>
          </w:tcPr>
          <w:p>
            <w:r>
              <w:rPr>
                <w:rFonts w:ascii="Calibri" w:hAnsi="Calibri"/>
                <w:sz w:val="22"/>
              </w:rPr>
              <w:t>-0.7%</w:t>
            </w:r>
          </w:p>
        </w:tc>
        <w:tc>
          <w:tcPr>
            <w:tcW w:type="dxa" w:w="1080"/>
          </w:tcPr>
          <w:p>
            <w:r>
              <w:rPr>
                <w:rFonts w:ascii="Calibri" w:hAnsi="Calibri"/>
                <w:sz w:val="22"/>
              </w:rPr>
              <w:t>N/A (no quarterly EPS guidance)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$6.733</w:t>
            </w:r>
          </w:p>
        </w:tc>
        <w:tc>
          <w:tcPr>
            <w:tcW w:type="dxa" w:w="1080"/>
          </w:tcPr>
          <w:p>
            <w:r>
              <w:rPr>
                <w:rFonts w:ascii="Calibri" w:hAnsi="Calibri"/>
                <w:sz w:val="22"/>
              </w:rPr>
              <w:t>$6.714</w:t>
            </w:r>
          </w:p>
        </w:tc>
        <w:tc>
          <w:tcPr>
            <w:tcW w:type="dxa" w:w="1080"/>
          </w:tcPr>
          <w:p>
            <w:r>
              <w:rPr>
                <w:rFonts w:ascii="Calibri" w:hAnsi="Calibri"/>
                <w:sz w:val="22"/>
              </w:rPr>
              <w:t>-0.3%</w:t>
            </w:r>
          </w:p>
        </w:tc>
        <w:tc>
          <w:tcPr>
            <w:tcW w:type="dxa" w:w="1080"/>
          </w:tcPr>
          <w:p>
            <w:r>
              <w:rPr>
                <w:rFonts w:ascii="Calibri" w:hAnsi="Calibri"/>
                <w:sz w:val="22"/>
              </w:rPr>
              <w:t>$6.55–$6.80 ($6.675 midpoint)</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+0.6% above midpoint</w:t>
            </w:r>
          </w:p>
        </w:tc>
      </w:tr>
      <w:tr>
        <w:tc>
          <w:tcPr>
            <w:tcW w:type="dxa" w:w="1080"/>
          </w:tcPr>
          <w:p>
            <w:r>
              <w:rPr>
                <w:rFonts w:ascii="Calibri" w:hAnsi="Calibri"/>
                <w:sz w:val="22"/>
              </w:rPr>
              <w:t>Total Revenue — Q2 2026</w:t>
            </w:r>
          </w:p>
        </w:tc>
        <w:tc>
          <w:tcPr>
            <w:tcW w:type="dxa" w:w="1080"/>
          </w:tcPr>
          <w:p>
            <w:r>
              <w:rPr>
                <w:rFonts w:ascii="Calibri" w:hAnsi="Calibri"/>
                <w:sz w:val="22"/>
              </w:rPr>
              <w:t>$7.785B</w:t>
            </w:r>
          </w:p>
        </w:tc>
        <w:tc>
          <w:tcPr>
            <w:tcW w:type="dxa" w:w="1080"/>
          </w:tcPr>
          <w:p>
            <w:r>
              <w:rPr>
                <w:rFonts w:ascii="Calibri" w:hAnsi="Calibri"/>
                <w:sz w:val="22"/>
              </w:rPr>
              <w:t>$7.785B</w:t>
            </w:r>
          </w:p>
        </w:tc>
        <w:tc>
          <w:tcPr>
            <w:tcW w:type="dxa" w:w="1080"/>
          </w:tcPr>
          <w:p>
            <w:r>
              <w:rPr>
                <w:rFonts w:ascii="Calibri" w:hAnsi="Calibri"/>
                <w:sz w:val="22"/>
              </w:rPr>
              <w:t>~0.0%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$33.63B</w:t>
            </w:r>
          </w:p>
        </w:tc>
        <w:tc>
          <w:tcPr>
            <w:tcW w:type="dxa" w:w="1080"/>
          </w:tcPr>
          <w:p>
            <w:r>
              <w:rPr>
                <w:rFonts w:ascii="Calibri" w:hAnsi="Calibri"/>
                <w:sz w:val="22"/>
              </w:rPr>
              <w:t>$33.58B</w:t>
            </w:r>
          </w:p>
        </w:tc>
        <w:tc>
          <w:tcPr>
            <w:tcW w:type="dxa" w:w="1080"/>
          </w:tcPr>
          <w:p>
            <w:r>
              <w:rPr>
                <w:rFonts w:ascii="Calibri" w:hAnsi="Calibri"/>
                <w:sz w:val="22"/>
              </w:rPr>
              <w:t>-0.2%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b/>
          <w:color w:val="525866"/>
          <w:sz w:val="22"/>
        </w:rPr>
        <w:t xml:space="preserve">Commentary: </w:t>
      </w:r>
      <w:r>
        <w:rPr>
          <w:rFonts w:ascii="Calibri" w:hAnsi="Calibri"/>
          <w:color w:val="525866"/>
          <w:sz w:val="22"/>
        </w:rPr>
        <w:t>The near-zero revision drift since the Q1 print is notable — it suggests the Street has high confidence in the guidance range and sees limited near-term catalysts to move numbers. FY2026 consensus of $6.71 sits just above the guidance midpoint of $6.675, implying the market expects DUK to deliver near the center of its range. Any upward revision to the capital plan or ESA count on the Q2 call could be the catalyst for positive estimate revisions into 2027.</w:t>
      </w:r>
    </w:p>
    <w:p>
      <w:r>
        <w:rPr>
          <w:rFonts w:ascii="Calibri" w:hAnsi="Calibri"/>
          <w:b/>
          <w:color w:val="525866"/>
          <w:sz w:val="22"/>
        </w:rPr>
        <w:t xml:space="preserve">Source: </w:t>
      </w:r>
      <w:r>
        <w:rPr>
          <w:rFonts w:ascii="Calibri" w:hAnsi="Calibri"/>
          <w:color w:val="525866"/>
          <w:sz w:val="22"/>
        </w:rPr>
        <w:t>Visible Alpha Consensus and Actuals Data (revision history table, weekly frequency, May 15 – August 4,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DUK has underperformed both XLU and the S&amp;P 500 since the Q1 print, with the decline driven almost entirely by multiple compression rather than earnings deterioration — NTM P/E contracted from ~18.4x to ~17.95x — suggesting the stock is pricing in execution risk on the NC rate case and capital plan, not a fundamental deterioration.</w:t>
      </w:r>
    </w:p>
    <w:p>
      <w:pPr>
        <w:pStyle w:val="Heading2"/>
      </w:pPr>
      <w:r>
        <w:rPr>
          <w:rFonts w:ascii="Calibri" w:hAnsi="Calibri"/>
          <w:b/>
          <w:color w:val="3B4259"/>
          <w:sz w:val="28"/>
        </w:rPr>
        <w:t>Indexed Price Performance: DUK vs. XLU vs. SPY (Since Q1 2026 Earnings, May 4, 2026 = 100)</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DUK (Indexed)</w:t>
            </w:r>
          </w:p>
        </w:tc>
        <w:tc>
          <w:tcPr>
            <w:tcW w:type="dxa" w:w="2160"/>
            <w:shd w:val="clear" w:color="auto" w:fill="3B4259"/>
          </w:tcPr>
          <w:p>
            <w:r>
              <w:rPr>
                <w:rFonts w:ascii="Calibri" w:hAnsi="Calibri"/>
                <w:b/>
                <w:color w:val="FFFFFF"/>
                <w:sz w:val="22"/>
              </w:rPr>
              <w:t>XLU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4, 2026 (Q1 Earnings)</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15, 2026</w:t>
            </w:r>
          </w:p>
        </w:tc>
        <w:tc>
          <w:tcPr>
            <w:tcW w:type="dxa" w:w="2160"/>
          </w:tcPr>
          <w:p>
            <w:r>
              <w:rPr>
                <w:rFonts w:ascii="Calibri" w:hAnsi="Calibri"/>
                <w:sz w:val="22"/>
              </w:rPr>
              <w:t>94.9</w:t>
            </w:r>
          </w:p>
        </w:tc>
        <w:tc>
          <w:tcPr>
            <w:tcW w:type="dxa" w:w="2160"/>
          </w:tcPr>
          <w:p>
            <w:r>
              <w:rPr>
                <w:rFonts w:ascii="Calibri" w:hAnsi="Calibri"/>
                <w:sz w:val="22"/>
              </w:rPr>
              <w:t>94.6</w:t>
            </w:r>
          </w:p>
        </w:tc>
        <w:tc>
          <w:tcPr>
            <w:tcW w:type="dxa" w:w="2160"/>
          </w:tcPr>
          <w:p>
            <w:r>
              <w:rPr>
                <w:rFonts w:ascii="Calibri" w:hAnsi="Calibri"/>
                <w:sz w:val="22"/>
              </w:rPr>
              <w:t>102.9</w:t>
            </w:r>
          </w:p>
        </w:tc>
      </w:tr>
      <w:tr>
        <w:tc>
          <w:tcPr>
            <w:tcW w:type="dxa" w:w="2160"/>
          </w:tcPr>
          <w:p>
            <w:r>
              <w:rPr>
                <w:rFonts w:ascii="Calibri" w:hAnsi="Calibri"/>
                <w:sz w:val="22"/>
              </w:rPr>
              <w:t>Jun 1, 2026</w:t>
            </w:r>
          </w:p>
        </w:tc>
        <w:tc>
          <w:tcPr>
            <w:tcW w:type="dxa" w:w="2160"/>
          </w:tcPr>
          <w:p>
            <w:r>
              <w:rPr>
                <w:rFonts w:ascii="Calibri" w:hAnsi="Calibri"/>
                <w:sz w:val="22"/>
              </w:rPr>
              <w:t>94.1</w:t>
            </w:r>
          </w:p>
        </w:tc>
        <w:tc>
          <w:tcPr>
            <w:tcW w:type="dxa" w:w="2160"/>
          </w:tcPr>
          <w:p>
            <w:r>
              <w:rPr>
                <w:rFonts w:ascii="Calibri" w:hAnsi="Calibri"/>
                <w:sz w:val="22"/>
              </w:rPr>
              <w:t>93.0</w:t>
            </w:r>
          </w:p>
        </w:tc>
        <w:tc>
          <w:tcPr>
            <w:tcW w:type="dxa" w:w="2160"/>
          </w:tcPr>
          <w:p>
            <w:r>
              <w:rPr>
                <w:rFonts w:ascii="Calibri" w:hAnsi="Calibri"/>
                <w:sz w:val="22"/>
              </w:rPr>
              <w:t>105.6</w:t>
            </w:r>
          </w:p>
        </w:tc>
      </w:tr>
      <w:tr>
        <w:tc>
          <w:tcPr>
            <w:tcW w:type="dxa" w:w="2160"/>
          </w:tcPr>
          <w:p>
            <w:r>
              <w:rPr>
                <w:rFonts w:ascii="Calibri" w:hAnsi="Calibri"/>
                <w:sz w:val="22"/>
              </w:rPr>
              <w:t>Jun 26, 2026 (NC Partial Settlement)</w:t>
            </w:r>
          </w:p>
        </w:tc>
        <w:tc>
          <w:tcPr>
            <w:tcW w:type="dxa" w:w="2160"/>
          </w:tcPr>
          <w:p>
            <w:r>
              <w:rPr>
                <w:rFonts w:ascii="Calibri" w:hAnsi="Calibri"/>
                <w:sz w:val="22"/>
              </w:rPr>
              <w:t>100.7</w:t>
            </w:r>
          </w:p>
        </w:tc>
        <w:tc>
          <w:tcPr>
            <w:tcW w:type="dxa" w:w="2160"/>
          </w:tcPr>
          <w:p>
            <w:r>
              <w:rPr>
                <w:rFonts w:ascii="Calibri" w:hAnsi="Calibri"/>
                <w:sz w:val="22"/>
              </w:rPr>
              <w:t>99.6</w:t>
            </w:r>
          </w:p>
        </w:tc>
        <w:tc>
          <w:tcPr>
            <w:tcW w:type="dxa" w:w="2160"/>
          </w:tcPr>
          <w:p>
            <w:r>
              <w:rPr>
                <w:rFonts w:ascii="Calibri" w:hAnsi="Calibri"/>
                <w:sz w:val="22"/>
              </w:rPr>
              <w:t>101.5</w:t>
            </w:r>
          </w:p>
        </w:tc>
      </w:tr>
      <w:tr>
        <w:tc>
          <w:tcPr>
            <w:tcW w:type="dxa" w:w="2160"/>
          </w:tcPr>
          <w:p>
            <w:r>
              <w:rPr>
                <w:rFonts w:ascii="Calibri" w:hAnsi="Calibri"/>
                <w:sz w:val="22"/>
              </w:rPr>
              <w:t>Jul 2, 2026 (NC Partial Settlement 8-K)</w:t>
            </w:r>
          </w:p>
        </w:tc>
        <w:tc>
          <w:tcPr>
            <w:tcW w:type="dxa" w:w="2160"/>
          </w:tcPr>
          <w:p>
            <w:r>
              <w:rPr>
                <w:rFonts w:ascii="Calibri" w:hAnsi="Calibri"/>
                <w:sz w:val="22"/>
              </w:rPr>
              <w:t>101.7</w:t>
            </w:r>
          </w:p>
        </w:tc>
        <w:tc>
          <w:tcPr>
            <w:tcW w:type="dxa" w:w="2160"/>
          </w:tcPr>
          <w:p>
            <w:r>
              <w:rPr>
                <w:rFonts w:ascii="Calibri" w:hAnsi="Calibri"/>
                <w:sz w:val="22"/>
              </w:rPr>
              <w:t>98.7</w:t>
            </w:r>
          </w:p>
        </w:tc>
        <w:tc>
          <w:tcPr>
            <w:tcW w:type="dxa" w:w="2160"/>
          </w:tcPr>
          <w:p>
            <w:r>
              <w:rPr>
                <w:rFonts w:ascii="Calibri" w:hAnsi="Calibri"/>
                <w:sz w:val="22"/>
              </w:rPr>
              <w:t>103.7</w:t>
            </w:r>
          </w:p>
        </w:tc>
      </w:tr>
      <w:tr>
        <w:tc>
          <w:tcPr>
            <w:tcW w:type="dxa" w:w="2160"/>
          </w:tcPr>
          <w:p>
            <w:r>
              <w:rPr>
                <w:rFonts w:ascii="Calibri" w:hAnsi="Calibri"/>
                <w:sz w:val="22"/>
              </w:rPr>
              <w:t>Jul 17, 2026 (NC Comprehensive Settlement)</w:t>
            </w:r>
          </w:p>
        </w:tc>
        <w:tc>
          <w:tcPr>
            <w:tcW w:type="dxa" w:w="2160"/>
          </w:tcPr>
          <w:p>
            <w:r>
              <w:rPr>
                <w:rFonts w:ascii="Calibri" w:hAnsi="Calibri"/>
                <w:sz w:val="22"/>
              </w:rPr>
              <w:t>98.1</w:t>
            </w:r>
          </w:p>
        </w:tc>
        <w:tc>
          <w:tcPr>
            <w:tcW w:type="dxa" w:w="2160"/>
          </w:tcPr>
          <w:p>
            <w:r>
              <w:rPr>
                <w:rFonts w:ascii="Calibri" w:hAnsi="Calibri"/>
                <w:sz w:val="22"/>
              </w:rPr>
              <w:t>97.4</w:t>
            </w:r>
          </w:p>
        </w:tc>
        <w:tc>
          <w:tcPr>
            <w:tcW w:type="dxa" w:w="2160"/>
          </w:tcPr>
          <w:p>
            <w:r>
              <w:rPr>
                <w:rFonts w:ascii="Calibri" w:hAnsi="Calibri"/>
                <w:sz w:val="22"/>
              </w:rPr>
              <w:t>103.5</w:t>
            </w:r>
          </w:p>
        </w:tc>
      </w:tr>
      <w:tr>
        <w:tc>
          <w:tcPr>
            <w:tcW w:type="dxa" w:w="2160"/>
          </w:tcPr>
          <w:p>
            <w:r>
              <w:rPr>
                <w:rFonts w:ascii="Calibri" w:hAnsi="Calibri"/>
                <w:sz w:val="22"/>
              </w:rPr>
              <w:t>Jul 24, 2026</w:t>
            </w:r>
          </w:p>
        </w:tc>
        <w:tc>
          <w:tcPr>
            <w:tcW w:type="dxa" w:w="2160"/>
          </w:tcPr>
          <w:p>
            <w:r>
              <w:rPr>
                <w:rFonts w:ascii="Calibri" w:hAnsi="Calibri"/>
                <w:sz w:val="22"/>
              </w:rPr>
              <w:t>102.4</w:t>
            </w:r>
          </w:p>
        </w:tc>
        <w:tc>
          <w:tcPr>
            <w:tcW w:type="dxa" w:w="2160"/>
          </w:tcPr>
          <w:p>
            <w:r>
              <w:rPr>
                <w:rFonts w:ascii="Calibri" w:hAnsi="Calibri"/>
                <w:sz w:val="22"/>
              </w:rPr>
              <w:t>99.8</w:t>
            </w:r>
          </w:p>
        </w:tc>
        <w:tc>
          <w:tcPr>
            <w:tcW w:type="dxa" w:w="2160"/>
          </w:tcPr>
          <w:p>
            <w:r>
              <w:rPr>
                <w:rFonts w:ascii="Calibri" w:hAnsi="Calibri"/>
                <w:sz w:val="22"/>
              </w:rPr>
              <w:t>102.9</w:t>
            </w:r>
          </w:p>
        </w:tc>
      </w:tr>
      <w:tr>
        <w:tc>
          <w:tcPr>
            <w:tcW w:type="dxa" w:w="2160"/>
          </w:tcPr>
          <w:p>
            <w:r>
              <w:rPr>
                <w:rFonts w:ascii="Calibri" w:hAnsi="Calibri"/>
                <w:sz w:val="22"/>
              </w:rPr>
              <w:t>Aug 4, 2026 (Today)</w:t>
            </w:r>
          </w:p>
        </w:tc>
        <w:tc>
          <w:tcPr>
            <w:tcW w:type="dxa" w:w="2160"/>
          </w:tcPr>
          <w:p>
            <w:r>
              <w:rPr>
                <w:rFonts w:ascii="Calibri" w:hAnsi="Calibri"/>
                <w:sz w:val="22"/>
              </w:rPr>
              <w:t>97.5</w:t>
            </w:r>
          </w:p>
        </w:tc>
        <w:tc>
          <w:tcPr>
            <w:tcW w:type="dxa" w:w="2160"/>
          </w:tcPr>
          <w:p>
            <w:r>
              <w:rPr>
                <w:rFonts w:ascii="Calibri" w:hAnsi="Calibri"/>
                <w:sz w:val="22"/>
              </w:rPr>
              <w:t>95.7</w:t>
            </w:r>
          </w:p>
        </w:tc>
        <w:tc>
          <w:tcPr>
            <w:tcW w:type="dxa" w:w="2160"/>
          </w:tcPr>
          <w:p>
            <w:r>
              <w:rPr>
                <w:rFonts w:ascii="Calibri" w:hAnsi="Calibri"/>
                <w:sz w:val="22"/>
              </w:rPr>
              <w:t>105.5</w:t>
            </w:r>
          </w:p>
        </w:tc>
      </w:tr>
    </w:tbl>
    <w:p>
      <w:r>
        <w:rPr>
          <w:rFonts w:ascii="Calibri" w:hAnsi="Calibri"/>
          <w:b/>
          <w:color w:val="525866"/>
          <w:sz w:val="22"/>
        </w:rPr>
        <w:t xml:space="preserve">Sector ETF: </w:t>
      </w:r>
      <w:r>
        <w:rPr>
          <w:rFonts w:ascii="Calibri" w:hAnsi="Calibri"/>
          <w:color w:val="525866"/>
          <w:sz w:val="22"/>
        </w:rPr>
        <w:t>XLU (Utilities Select Sector SPDR Fund) — appropriate for DUK’s regulated electric and gas utility sub-sector.</w:t>
      </w:r>
    </w:p>
    <w:p>
      <w:r>
        <w:rPr>
          <w:rFonts w:ascii="Calibri" w:hAnsi="Calibri"/>
          <w:b/>
          <w:color w:val="525866"/>
          <w:sz w:val="22"/>
        </w:rPr>
        <w:t xml:space="preserve">Performance Summary: </w:t>
      </w:r>
      <w:r>
        <w:rPr>
          <w:rFonts w:ascii="Calibri" w:hAnsi="Calibri"/>
          <w:color w:val="525866"/>
          <w:sz w:val="22"/>
        </w:rPr>
        <w:t xml:space="preserve">Since the Q1 2026 earnings date (May 4, 2026), DUK is down approximately </w:t>
      </w:r>
      <w:r>
        <w:rPr>
          <w:rFonts w:ascii="Calibri" w:hAnsi="Calibri"/>
          <w:b/>
          <w:color w:val="525866"/>
          <w:sz w:val="22"/>
        </w:rPr>
        <w:t>-2.5%</w:t>
      </w:r>
      <w:r>
        <w:rPr>
          <w:rFonts w:ascii="Calibri" w:hAnsi="Calibri"/>
          <w:color w:val="525866"/>
          <w:sz w:val="22"/>
        </w:rPr>
        <w:t xml:space="preserve"> (from $127.45 to $124.28), while XLU is down </w:t>
      </w:r>
      <w:r>
        <w:rPr>
          <w:rFonts w:ascii="Calibri" w:hAnsi="Calibri"/>
          <w:b/>
          <w:color w:val="525866"/>
          <w:sz w:val="22"/>
        </w:rPr>
        <w:t>-4.3%</w:t>
      </w:r>
      <w:r>
        <w:rPr>
          <w:rFonts w:ascii="Calibri" w:hAnsi="Calibri"/>
          <w:color w:val="525866"/>
          <w:sz w:val="22"/>
        </w:rPr>
        <w:t xml:space="preserve"> (from $46.37 to $44.36) and SPY is up </w:t>
      </w:r>
      <w:r>
        <w:rPr>
          <w:rFonts w:ascii="Calibri" w:hAnsi="Calibri"/>
          <w:b/>
          <w:color w:val="525866"/>
          <w:sz w:val="22"/>
        </w:rPr>
        <w:t>+5.5%</w:t>
      </w:r>
      <w:r>
        <w:rPr>
          <w:rFonts w:ascii="Calibri" w:hAnsi="Calibri"/>
          <w:color w:val="525866"/>
          <w:sz w:val="22"/>
        </w:rPr>
        <w:t xml:space="preserve"> (from $718.01 to $757.67). DUK has outperformed XLU by ~180bps but significantly underperformed the broader market. Key events: (1) the stock rallied ~+1.7% on July 2 following the NC partial rate settlement 8-K; (2) it gave back gains after the July 17 comprehensive settlement (9.8% ROE vs. 10.95% initial ask) was seen as below expectations; (3) the stock has drifted lower into earnings alongside the broader utility sector.</w:t>
      </w:r>
    </w:p>
    <w:p>
      <w:r>
        <w:rPr>
          <w:rFonts w:ascii="Calibri" w:hAnsi="Calibri"/>
          <w:b/>
          <w:color w:val="525866"/>
          <w:sz w:val="22"/>
        </w:rPr>
        <w:t xml:space="preserve">Valuation Context: </w:t>
      </w:r>
      <w:r>
        <w:rPr>
          <w:rFonts w:ascii="Calibri" w:hAnsi="Calibri"/>
          <w:color w:val="525866"/>
          <w:sz w:val="22"/>
        </w:rPr>
        <w:t>NTM P/E has compressed from ~18.4x (at Q1 earnings) to 17.95x today, while NTM EV/EBITDA has compressed from ~11.62x (3 months ago) to 11.10x. The multiple contraction is the primary driver of underperformance vs. SPY, not earnings deterioration — a pattern consistent with rate-case uncertainty weighing on the regulatory premium.</w:t>
      </w:r>
    </w:p>
    <w:p>
      <w:r>
        <w:rPr>
          <w:rFonts w:ascii="Calibri" w:hAnsi="Calibri"/>
          <w:b/>
          <w:color w:val="525866"/>
          <w:sz w:val="22"/>
        </w:rPr>
        <w:t xml:space="preserve">Source: </w:t>
      </w:r>
      <w:r>
        <w:rPr>
          <w:rFonts w:ascii="Calibri" w:hAnsi="Calibri"/>
          <w:color w:val="525866"/>
          <w:sz w:val="22"/>
        </w:rPr>
        <w:t>Stock Price Data (Yahoo Finance); Stock Performance Decomposition (NTM multiples as of August 3, 2026).</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17 comprehensive North Carolina rate settlement — constructive but below the initial ask — which sets the regulatory backdrop for the Q2 call. The pace of ESA signings and any capital plan update are the next most important items to watch.</w:t>
      </w:r>
    </w:p>
    <w:p>
      <w:pPr>
        <w:pStyle w:val="ListBullet"/>
        <w:ind w:left="360" w:hanging="360"/>
      </w:pPr>
      <w:r>
        <w:rPr>
          <w:rFonts w:ascii="Calibri" w:hAnsi="Calibri"/>
          <w:b/>
          <w:color w:val="525866"/>
          <w:sz w:val="22"/>
        </w:rPr>
        <w:t xml:space="preserve">[July 17, 2026] NC Comprehensive Rate Settlement (DEC) — </w:t>
      </w:r>
      <w:r>
        <w:rPr>
          <w:rFonts w:ascii="Calibri" w:hAnsi="Calibri"/>
          <w:color w:val="525866"/>
          <w:sz w:val="22"/>
        </w:rPr>
        <w:t xml:space="preserve">Duke Energy Carolinas and the Public Staff filed a comprehensive settlement resolving all remaining revenue requirement issues: $496M over two years (avg. 3.7%/yr increase), 9.8% ROE, 53% equity ratio, $25.7B rate base, $3.8B MYRP capital (NC retail). One-time pre-tax charges of ~$40M in 2026 (excluded from adjusted EPS). Year 1 rates effective January 1, 2027, subject to NCUC approval. </w:t>
      </w:r>
      <w:r>
        <w:rPr>
          <w:rFonts w:ascii="Calibri" w:hAnsi="Calibri"/>
          <w:b/>
          <w:color w:val="525866"/>
          <w:sz w:val="22"/>
        </w:rPr>
        <w:t xml:space="preserve">Implication: </w:t>
      </w:r>
      <w:r>
        <w:rPr>
          <w:rFonts w:ascii="Calibri" w:hAnsi="Calibri"/>
          <w:color w:val="525866"/>
          <w:sz w:val="22"/>
        </w:rPr>
        <w:t>Constructive outcome but ROE of 9.8% is below the 10.95% initial ask and the 10.48% revised request; the settlement removes a major overhang but the MYRP2 capital program and large-load tariff remain to be litigated. Evidentiary hearing commenced July 7 and is ongoing.</w:t>
      </w:r>
    </w:p>
    <w:p>
      <w:pPr>
        <w:pStyle w:val="ListBullet"/>
        <w:ind w:left="360" w:hanging="360"/>
      </w:pPr>
      <w:r>
        <w:rPr>
          <w:rFonts w:ascii="Calibri" w:hAnsi="Calibri"/>
          <w:b/>
          <w:color w:val="525866"/>
          <w:sz w:val="22"/>
        </w:rPr>
        <w:t xml:space="preserve">[July 2, 2026] NC Partial Rate Settlement (DEC) — </w:t>
      </w:r>
      <w:r>
        <w:rPr>
          <w:rFonts w:ascii="Calibri" w:hAnsi="Calibri"/>
          <w:color w:val="525866"/>
          <w:sz w:val="22"/>
        </w:rPr>
        <w:t xml:space="preserve">DEC and the Public Staff filed a partial stipulation resolving accounting and plant items, reducing the revenue requirement by $66M and introducing a ~$10M one-time pre-tax charge in Q2 2026 (excluded from adjusted EPS). Key issues including ROE, MYRP2, large-load tariff, and storm costs left for litigation. </w:t>
      </w:r>
      <w:r>
        <w:rPr>
          <w:rFonts w:ascii="Calibri" w:hAnsi="Calibri"/>
          <w:b/>
          <w:color w:val="525866"/>
          <w:sz w:val="22"/>
        </w:rPr>
        <w:t xml:space="preserve">Implication: </w:t>
      </w:r>
      <w:r>
        <w:rPr>
          <w:rFonts w:ascii="Calibri" w:hAnsi="Calibri"/>
          <w:color w:val="525866"/>
          <w:sz w:val="22"/>
        </w:rPr>
        <w:t>The $10M charge is a known Q2 item; watch for management commentary on the broader settlement timeline.</w:t>
      </w:r>
    </w:p>
    <w:p>
      <w:pPr>
        <w:pStyle w:val="ListBullet"/>
        <w:ind w:left="360" w:hanging="360"/>
      </w:pPr>
      <w:r>
        <w:rPr>
          <w:rFonts w:ascii="Calibri" w:hAnsi="Calibri"/>
          <w:b/>
          <w:color w:val="525866"/>
          <w:sz w:val="22"/>
        </w:rPr>
        <w:t xml:space="preserve">[May 5, 2026] Q1 2026 Earnings — Strong Beat &amp; ESA Acceleration — </w:t>
      </w:r>
      <w:r>
        <w:rPr>
          <w:rFonts w:ascii="Calibri" w:hAnsi="Calibri"/>
          <w:color w:val="525866"/>
          <w:sz w:val="22"/>
        </w:rPr>
        <w:t xml:space="preserve">Adjusted EPS of $1.93 vs. $1.87 consensus (+3.2% beat). Revenue of $9.18B vs. $8.44B consensus (significant beat). 2.7 GW of new data-center ESAs signed in Q1 alone (total: ~7.6 GW, ~2/3 under construction). FY2026 guidance reaffirmed at $6.55–$6.80. Brookfield DEF minority investment and Piedmont Tennessee sale closed, generating &gt;$5B in proceeds. Carolina utilities merger received all regulatory approvals (effective Jan 1, 2027). </w:t>
      </w:r>
      <w:r>
        <w:rPr>
          <w:rFonts w:ascii="Calibri" w:hAnsi="Calibri"/>
          <w:b/>
          <w:color w:val="525866"/>
          <w:sz w:val="22"/>
        </w:rPr>
        <w:t xml:space="preserve">Implication: </w:t>
      </w:r>
      <w:r>
        <w:rPr>
          <w:rFonts w:ascii="Calibri" w:hAnsi="Calibri"/>
          <w:color w:val="525866"/>
          <w:sz w:val="22"/>
        </w:rPr>
        <w:t>Sets a high bar for ESA signings in Q2; any acceleration above 2.7 GW would be a positive catalyst.</w:t>
      </w:r>
    </w:p>
    <w:p>
      <w:pPr>
        <w:pStyle w:val="ListBullet"/>
        <w:ind w:left="360" w:hanging="360"/>
      </w:pPr>
      <w:r>
        <w:rPr>
          <w:rFonts w:ascii="Calibri" w:hAnsi="Calibri"/>
          <w:b/>
          <w:color w:val="525866"/>
          <w:sz w:val="22"/>
        </w:rPr>
        <w:t xml:space="preserve">[July 21, 2026] White House Ratepayer Protection Pledge — </w:t>
      </w:r>
      <w:r>
        <w:rPr>
          <w:rFonts w:ascii="Calibri" w:hAnsi="Calibri"/>
          <w:color w:val="525866"/>
          <w:sz w:val="22"/>
        </w:rPr>
        <w:t xml:space="preserve">Duke Energy and Dominion Energy, among nearly 200 entities, signed the White House pledge to ensure AI energy consumption does not push up electric bills for consumers. </w:t>
      </w:r>
      <w:r>
        <w:rPr>
          <w:rFonts w:ascii="Calibri" w:hAnsi="Calibri"/>
          <w:b/>
          <w:color w:val="525866"/>
          <w:sz w:val="22"/>
        </w:rPr>
        <w:t xml:space="preserve">Implication: </w:t>
      </w:r>
      <w:r>
        <w:rPr>
          <w:rFonts w:ascii="Calibri" w:hAnsi="Calibri"/>
          <w:color w:val="525866"/>
          <w:sz w:val="22"/>
        </w:rPr>
        <w:t>Signals alignment with federal policy on large-load cost allocation; reinforces DUK’s existing ESA framework requiring data centers to pay their fair share.</w:t>
      </w:r>
    </w:p>
    <w:p>
      <w:pPr>
        <w:pStyle w:val="ListBullet"/>
        <w:ind w:left="360" w:hanging="360"/>
      </w:pPr>
      <w:r>
        <w:rPr>
          <w:rFonts w:ascii="Calibri" w:hAnsi="Calibri"/>
          <w:b/>
          <w:color w:val="525866"/>
          <w:sz w:val="22"/>
        </w:rPr>
        <w:t xml:space="preserve">[Ongoing] North Carolina Rate Case Evidentiary Hearing — </w:t>
      </w:r>
      <w:r>
        <w:rPr>
          <w:rFonts w:ascii="Calibri" w:hAnsi="Calibri"/>
          <w:color w:val="525866"/>
          <w:sz w:val="22"/>
        </w:rPr>
        <w:t xml:space="preserve">Hearing commenced July 7, 2026 and is ongoing. Key unresolved issues include the MYRP2 capital program, large-load tariff, and storm cost recovery. DEC has requested Year 1 rates effective no later than January 1, 2027. </w:t>
      </w:r>
      <w:r>
        <w:rPr>
          <w:rFonts w:ascii="Calibri" w:hAnsi="Calibri"/>
          <w:b/>
          <w:color w:val="525866"/>
          <w:sz w:val="22"/>
        </w:rPr>
        <w:t xml:space="preserve">Implication: </w:t>
      </w:r>
      <w:r>
        <w:rPr>
          <w:rFonts w:ascii="Calibri" w:hAnsi="Calibri"/>
          <w:color w:val="525866"/>
          <w:sz w:val="22"/>
        </w:rPr>
        <w:t>NCUC approval timeline is the key regulatory wildcard; any delay beyond January 2027 would be a negative.</w:t>
      </w:r>
    </w:p>
    <w:p>
      <w:pPr>
        <w:pStyle w:val="ListBullet"/>
        <w:ind w:left="360" w:hanging="360"/>
      </w:pPr>
      <w:r>
        <w:rPr>
          <w:rFonts w:ascii="Calibri" w:hAnsi="Calibri"/>
          <w:b/>
          <w:color w:val="525866"/>
          <w:sz w:val="22"/>
        </w:rPr>
        <w:t xml:space="preserve">[May 13, 2026] Shareholder Vote — </w:t>
      </w:r>
      <w:r>
        <w:rPr>
          <w:rFonts w:ascii="Calibri" w:hAnsi="Calibri"/>
          <w:color w:val="525866"/>
          <w:sz w:val="22"/>
        </w:rPr>
        <w:t xml:space="preserve">Duke Energy shareholders rejected a bid to end the supermajority voting rule at the annual meeting. </w:t>
      </w:r>
      <w:r>
        <w:rPr>
          <w:rFonts w:ascii="Calibri" w:hAnsi="Calibri"/>
          <w:b/>
          <w:color w:val="525866"/>
          <w:sz w:val="22"/>
        </w:rPr>
        <w:t xml:space="preserve">Implication: </w:t>
      </w:r>
      <w:r>
        <w:rPr>
          <w:rFonts w:ascii="Calibri" w:hAnsi="Calibri"/>
          <w:color w:val="525866"/>
          <w:sz w:val="22"/>
        </w:rPr>
        <w:t>Governance-related; limited direct financial impact.</w:t>
      </w:r>
    </w:p>
    <w:p>
      <w:pPr>
        <w:pStyle w:val="ListBullet"/>
        <w:ind w:left="360" w:hanging="360"/>
      </w:pPr>
      <w:r>
        <w:rPr>
          <w:rFonts w:ascii="Calibri" w:hAnsi="Calibri"/>
          <w:b/>
          <w:color w:val="525866"/>
          <w:sz w:val="22"/>
        </w:rPr>
        <w:t xml:space="preserve">[Sector] Data Center Grid Stability Event (July 22, 2026) — </w:t>
      </w:r>
      <w:r>
        <w:rPr>
          <w:rFonts w:ascii="Calibri" w:hAnsi="Calibri"/>
          <w:color w:val="525866"/>
          <w:sz w:val="22"/>
        </w:rPr>
        <w:t xml:space="preserve">A power line failure in Northern Virginia caused &gt;3 GW of data centers to simultaneously drop load, destabilizing the PJM grid for ~10 minutes. </w:t>
      </w:r>
      <w:r>
        <w:rPr>
          <w:rFonts w:ascii="Calibri" w:hAnsi="Calibri"/>
          <w:b/>
          <w:color w:val="525866"/>
          <w:sz w:val="22"/>
        </w:rPr>
        <w:t xml:space="preserve">Implication: </w:t>
      </w:r>
      <w:r>
        <w:rPr>
          <w:rFonts w:ascii="Calibri" w:hAnsi="Calibri"/>
          <w:color w:val="525866"/>
          <w:sz w:val="22"/>
        </w:rPr>
        <w:t>Highlights grid reliability risks from large, concentrated data-center loads — relevant to DUK’s ESA framework and the ongoing NC large-load tariff proceeding.</w:t>
      </w:r>
    </w:p>
    <w:p>
      <w:pPr>
        <w:pStyle w:val="ListBullet"/>
        <w:ind w:left="360" w:hanging="360"/>
      </w:pPr>
      <w:r>
        <w:rPr>
          <w:rFonts w:ascii="Calibri" w:hAnsi="Calibri"/>
          <w:b/>
          <w:color w:val="525866"/>
          <w:sz w:val="22"/>
        </w:rPr>
        <w:t xml:space="preserve">[Sector] AEP Raises FY2026 Guidance (July 30, 2026) — </w:t>
      </w:r>
      <w:r>
        <w:rPr>
          <w:rFonts w:ascii="Calibri" w:hAnsi="Calibri"/>
          <w:color w:val="525866"/>
          <w:sz w:val="22"/>
        </w:rPr>
        <w:t xml:space="preserve">AEP raised FY2026 operating EPS guidance to $6.25–$6.55 (from $6.15–$6.45), citing robust data-center demand. 69 GW of contracted load additions through 2030. </w:t>
      </w:r>
      <w:r>
        <w:rPr>
          <w:rFonts w:ascii="Calibri" w:hAnsi="Calibri"/>
          <w:b/>
          <w:color w:val="525866"/>
          <w:sz w:val="22"/>
        </w:rPr>
        <w:t xml:space="preserve">Implication: </w:t>
      </w:r>
      <w:r>
        <w:rPr>
          <w:rFonts w:ascii="Calibri" w:hAnsi="Calibri"/>
          <w:color w:val="525866"/>
          <w:sz w:val="22"/>
        </w:rPr>
        <w:t>Positive read-through for DUK’s load growth narrative; raises the bar for DUK to provide a similarly bullish ESA update.</w:t>
      </w:r>
    </w:p>
    <w:p>
      <w:pPr>
        <w:pStyle w:val="ListBullet"/>
        <w:ind w:left="360" w:hanging="360"/>
      </w:pPr>
      <w:r>
        <w:rPr>
          <w:rFonts w:ascii="Calibri" w:hAnsi="Calibri"/>
          <w:b/>
          <w:color w:val="525866"/>
          <w:sz w:val="22"/>
        </w:rPr>
        <w:t xml:space="preserve">[Sector] Dominion Energy Q2 2026 Beat (July 31, 2026) — </w:t>
      </w:r>
      <w:r>
        <w:rPr>
          <w:rFonts w:ascii="Calibri" w:hAnsi="Calibri"/>
          <w:color w:val="525866"/>
          <w:sz w:val="22"/>
        </w:rPr>
        <w:t xml:space="preserve">Dominion reported adjusted EPS of $0.79 vs. $0.68 consensus (+16% beat), with 53.8 GW of data-center capacity contracted. </w:t>
      </w:r>
      <w:r>
        <w:rPr>
          <w:rFonts w:ascii="Calibri" w:hAnsi="Calibri"/>
          <w:b/>
          <w:color w:val="525866"/>
          <w:sz w:val="22"/>
        </w:rPr>
        <w:t xml:space="preserve">Implication: </w:t>
      </w:r>
      <w:r>
        <w:rPr>
          <w:rFonts w:ascii="Calibri" w:hAnsi="Calibri"/>
          <w:color w:val="525866"/>
          <w:sz w:val="22"/>
        </w:rPr>
        <w:t>Strong positive read-through for Southeast utility load growth; sets a high bar for DUK’s own ESA update.</w:t>
      </w:r>
    </w:p>
    <w:p>
      <w:pPr>
        <w:pStyle w:val="ListBullet"/>
        <w:ind w:left="360" w:hanging="360"/>
      </w:pPr>
      <w:r>
        <w:rPr>
          <w:rFonts w:ascii="Calibri" w:hAnsi="Calibri"/>
          <w:b/>
          <w:color w:val="525866"/>
          <w:sz w:val="22"/>
        </w:rPr>
        <w:t xml:space="preserve">[Sector] Southern Company Q2 2026 (July 30, 2026) — </w:t>
      </w:r>
      <w:r>
        <w:rPr>
          <w:rFonts w:ascii="Calibri" w:hAnsi="Calibri"/>
          <w:color w:val="525866"/>
          <w:sz w:val="22"/>
        </w:rPr>
        <w:t xml:space="preserve">SO reported 6 GW of newly contracted large load in Q2 alone (total &gt;17 GW by mid-2030s), with data-center usage up 55% YoY. Weather-normal retail sales up 2.3% YTD — highest growth in nearly two decades. </w:t>
      </w:r>
      <w:r>
        <w:rPr>
          <w:rFonts w:ascii="Calibri" w:hAnsi="Calibri"/>
          <w:b/>
          <w:color w:val="525866"/>
          <w:sz w:val="22"/>
        </w:rPr>
        <w:t xml:space="preserve">Implication: </w:t>
      </w:r>
      <w:r>
        <w:rPr>
          <w:rFonts w:ascii="Calibri" w:hAnsi="Calibri"/>
          <w:color w:val="525866"/>
          <w:sz w:val="22"/>
        </w:rPr>
        <w:t>Confirms the Southeast load growth thesis; directly relevant to DUK’s Carolinas and Florida territories.</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Two open-market sales by senior executives shortly after the Q1 earnings beat are worth noting, though neither appears to be under a 10b5-1 plan — the CEO’s sale of 20,000 shares (~$2.5M) within days of the Q1 print is the most notable item. No open-market buys were recorded in the period.</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Est. 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Harry K. Sideris</w:t>
            </w:r>
          </w:p>
        </w:tc>
        <w:tc>
          <w:tcPr>
            <w:tcW w:type="dxa" w:w="1234"/>
          </w:tcPr>
          <w:p>
            <w:r>
              <w:rPr>
                <w:rFonts w:ascii="Calibri" w:hAnsi="Calibri"/>
                <w:sz w:val="22"/>
              </w:rPr>
              <w:t>President, CEO &amp; Director</w:t>
            </w:r>
          </w:p>
        </w:tc>
        <w:tc>
          <w:tcPr>
            <w:tcW w:type="dxa" w:w="1234"/>
          </w:tcPr>
          <w:p>
            <w:r>
              <w:rPr>
                <w:rFonts w:ascii="Calibri" w:hAnsi="Calibri"/>
                <w:sz w:val="22"/>
              </w:rPr>
              <w:t>Open Market Sale</w:t>
            </w:r>
          </w:p>
        </w:tc>
        <w:tc>
          <w:tcPr>
            <w:tcW w:type="dxa" w:w="1234"/>
          </w:tcPr>
          <w:p>
            <w:r>
              <w:rPr>
                <w:rFonts w:ascii="Calibri" w:hAnsi="Calibri"/>
                <w:sz w:val="22"/>
              </w:rPr>
              <w:t>20,000</w:t>
            </w:r>
          </w:p>
        </w:tc>
        <w:tc>
          <w:tcPr>
            <w:tcW w:type="dxa" w:w="1234"/>
          </w:tcPr>
          <w:p>
            <w:r>
              <w:rPr>
                <w:rFonts w:ascii="Calibri" w:hAnsi="Calibri"/>
                <w:sz w:val="22"/>
              </w:rPr>
              <w:t>~$2.49M</w:t>
            </w:r>
          </w:p>
        </w:tc>
        <w:tc>
          <w:tcPr>
            <w:tcW w:type="dxa" w:w="1234"/>
          </w:tcPr>
          <w:p>
            <w:r>
              <w:rPr>
                <w:rFonts w:ascii="Calibri" w:hAnsi="Calibri"/>
                <w:sz w:val="22"/>
              </w:rPr>
              <w:t>May 8, 2026</w:t>
            </w:r>
          </w:p>
        </w:tc>
        <w:tc>
          <w:tcPr>
            <w:tcW w:type="dxa" w:w="1234"/>
          </w:tcPr>
          <w:p>
            <w:r>
              <w:rPr>
                <w:rFonts w:ascii="Calibri" w:hAnsi="Calibri"/>
                <w:sz w:val="22"/>
              </w:rPr>
              <w:t>Discretionary sale; no 10b5-1 plan indicated. Filed May 11. Sold 3 days after Q1 beat. Retained 96,102 shares post-sale.</w:t>
            </w:r>
          </w:p>
        </w:tc>
      </w:tr>
      <w:tr>
        <w:tc>
          <w:tcPr>
            <w:tcW w:type="dxa" w:w="1234"/>
          </w:tcPr>
          <w:p>
            <w:r>
              <w:rPr>
                <w:rFonts w:ascii="Calibri" w:hAnsi="Calibri"/>
                <w:sz w:val="22"/>
              </w:rPr>
              <w:t>Louis E. Renjel</w:t>
            </w:r>
          </w:p>
        </w:tc>
        <w:tc>
          <w:tcPr>
            <w:tcW w:type="dxa" w:w="1234"/>
          </w:tcPr>
          <w:p>
            <w:r>
              <w:rPr>
                <w:rFonts w:ascii="Calibri" w:hAnsi="Calibri"/>
                <w:sz w:val="22"/>
              </w:rPr>
              <w:t>EVP &amp; CEO, DEF&amp;MW / Chief Corporate Affairs Officer</w:t>
            </w:r>
          </w:p>
        </w:tc>
        <w:tc>
          <w:tcPr>
            <w:tcW w:type="dxa" w:w="1234"/>
          </w:tcPr>
          <w:p>
            <w:r>
              <w:rPr>
                <w:rFonts w:ascii="Calibri" w:hAnsi="Calibri"/>
                <w:sz w:val="22"/>
              </w:rPr>
              <w:t>Open Market Sale</w:t>
            </w:r>
          </w:p>
        </w:tc>
        <w:tc>
          <w:tcPr>
            <w:tcW w:type="dxa" w:w="1234"/>
          </w:tcPr>
          <w:p>
            <w:r>
              <w:rPr>
                <w:rFonts w:ascii="Calibri" w:hAnsi="Calibri"/>
                <w:sz w:val="22"/>
              </w:rPr>
              <w:t>3,500</w:t>
            </w:r>
          </w:p>
        </w:tc>
        <w:tc>
          <w:tcPr>
            <w:tcW w:type="dxa" w:w="1234"/>
          </w:tcPr>
          <w:p>
            <w:r>
              <w:rPr>
                <w:rFonts w:ascii="Calibri" w:hAnsi="Calibri"/>
                <w:sz w:val="22"/>
              </w:rPr>
              <w:t>~$0.44M</w:t>
            </w:r>
          </w:p>
        </w:tc>
        <w:tc>
          <w:tcPr>
            <w:tcW w:type="dxa" w:w="1234"/>
          </w:tcPr>
          <w:p>
            <w:r>
              <w:rPr>
                <w:rFonts w:ascii="Calibri" w:hAnsi="Calibri"/>
                <w:sz w:val="22"/>
              </w:rPr>
              <w:t>May 11, 2026</w:t>
            </w:r>
          </w:p>
        </w:tc>
        <w:tc>
          <w:tcPr>
            <w:tcW w:type="dxa" w:w="1234"/>
          </w:tcPr>
          <w:p>
            <w:r>
              <w:rPr>
                <w:rFonts w:ascii="Calibri" w:hAnsi="Calibri"/>
                <w:sz w:val="22"/>
              </w:rPr>
              <w:t>Discretionary sale; no 10b5-1 plan indicated. Filed May 12. Retained 21,415 shares post-sale.</w:t>
            </w:r>
          </w:p>
        </w:tc>
      </w:tr>
    </w:tbl>
    <w:p>
      <w:r>
        <w:rPr>
          <w:rFonts w:ascii="Calibri" w:hAnsi="Calibri"/>
          <w:b/>
          <w:color w:val="525866"/>
          <w:sz w:val="22"/>
        </w:rPr>
        <w:t xml:space="preserve">Assessment: </w:t>
      </w:r>
      <w:r>
        <w:rPr>
          <w:rFonts w:ascii="Calibri" w:hAnsi="Calibri"/>
          <w:color w:val="525866"/>
          <w:sz w:val="22"/>
        </w:rPr>
        <w:t>Both sales occurred within the first week after the Q1 2026 earnings beat, which is a common window for executives to sell following a strong print. Neither transaction is flagged as a 10b5-1 planned sale. The CEO’s sale of 20,000 shares is notable in size (~17% of his pre-sale holdings) but is not unusual for a utility CEO following a strong quarter. No open-market buys were recorded in the May 4 – August 4, 2026 window, which is neither alarming nor particularly bullish. Overall, insider activity does not send a strong directional signal.</w:t>
      </w:r>
    </w:p>
    <w:p>
      <w:r>
        <w:rPr>
          <w:rFonts w:ascii="Calibri" w:hAnsi="Calibri"/>
          <w:b/>
          <w:color w:val="525866"/>
          <w:sz w:val="22"/>
        </w:rPr>
        <w:t xml:space="preserve">Source: </w:t>
      </w:r>
      <w:r>
        <w:rPr>
          <w:rFonts w:ascii="Calibri" w:hAnsi="Calibri"/>
          <w:color w:val="525866"/>
          <w:sz w:val="22"/>
        </w:rPr>
        <w:t>SEC Form 4 Filings Database (Insider Transaction Data).</w:t>
      </w:r>
    </w:p>
    <w:p>
      <w:r>
        <w:br w:type="page"/>
      </w:r>
    </w:p>
    <w:p>
      <w:pPr>
        <w:pStyle w:val="Heading1"/>
        <w:pBdr>
          <w:bottom w:val="single" w:sz="4" w:space="1" w:color="FB9120"/>
        </w:pBdr>
      </w:pPr>
      <w:r>
        <w:rPr>
          <w:rFonts w:ascii="Calibri" w:hAnsi="Calibri"/>
          <w:b/>
          <w:color w:val="3B4259"/>
          <w:sz w:val="40"/>
        </w:rPr>
        <w:t>8. Peer Commentaries — Q2 2026 Current-Quarter Read-Throughs</w:t>
      </w:r>
    </w:p>
    <w:p>
      <w:r>
        <w:rPr>
          <w:rFonts w:ascii="Calibri" w:hAnsi="Calibri"/>
          <w:b/>
          <w:color w:val="525866"/>
          <w:sz w:val="22"/>
        </w:rPr>
        <w:t xml:space="preserve">Key Takeaway: </w:t>
      </w:r>
      <w:r>
        <w:rPr>
          <w:rFonts w:ascii="Calibri" w:hAnsi="Calibri"/>
          <w:color w:val="525866"/>
          <w:sz w:val="22"/>
        </w:rPr>
        <w:t>Peers reporting Q2 2026 results in the last two weeks paint a uniformly bullish picture on Southeast load growth and data-center demand — directly validating DUK’s ESA pipeline — while also flagging rising O&amp;M, higher interest expense, and the importance of large-load tariff frameworks as shared industry themes. The Dominion beat (+16% vs. consensus) and Southern Company’s 6 GW of Q2 signings set a high bar for DUK’s own ESA update.</w:t>
      </w:r>
    </w:p>
    <w:p>
      <w:r>
        <w:rPr>
          <w:rFonts w:ascii="Calibri" w:hAnsi="Calibri"/>
          <w:b/>
          <w:color w:val="525866"/>
          <w:sz w:val="22"/>
        </w:rPr>
        <w:t xml:space="preserve">Methodology: </w:t>
      </w:r>
      <w:r>
        <w:rPr>
          <w:rFonts w:ascii="Calibri" w:hAnsi="Calibri"/>
          <w:color w:val="525866"/>
          <w:sz w:val="22"/>
        </w:rPr>
        <w:t xml:space="preserve">All commentary below is sourced exclusively from Q2 2026 earnings calls and releases (reporting period ended June 30, 2026). Retrospective commentary about prior periods has been excluded. Each read-through is classified as </w:t>
      </w:r>
      <w:r>
        <w:rPr>
          <w:rFonts w:ascii="Calibri" w:hAnsi="Calibri"/>
          <w:b/>
          <w:color w:val="525866"/>
          <w:sz w:val="22"/>
        </w:rPr>
        <w:t>Direct</w:t>
      </w:r>
      <w:r>
        <w:rPr>
          <w:rFonts w:ascii="Calibri" w:hAnsi="Calibri"/>
          <w:color w:val="525866"/>
          <w:sz w:val="22"/>
        </w:rPr>
        <w:t xml:space="preserve"> (same geography, same customer type, or same regulatory dynamic as DUK) or </w:t>
      </w:r>
      <w:r>
        <w:rPr>
          <w:rFonts w:ascii="Calibri" w:hAnsi="Calibri"/>
          <w:b/>
          <w:color w:val="525866"/>
          <w:sz w:val="22"/>
        </w:rPr>
        <w:t>Indirect</w:t>
      </w:r>
      <w:r>
        <w:rPr>
          <w:rFonts w:ascii="Calibri" w:hAnsi="Calibri"/>
          <w:color w:val="525866"/>
          <w:sz w:val="22"/>
        </w:rPr>
        <w:t xml:space="preserve"> (industry-wide trend or adjacent market).</w:t>
      </w:r>
    </w:p>
    <w:p>
      <w:pPr>
        <w:pStyle w:val="Heading2"/>
      </w:pPr>
      <w:r>
        <w:rPr>
          <w:rFonts w:ascii="Calibri" w:hAnsi="Calibri"/>
          <w:b/>
          <w:color w:val="3B4259"/>
          <w:sz w:val="28"/>
        </w:rPr>
        <w:t>8.1 Southern Company (SO) — Q2 2026 Earnings Call (July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SO Q2 2026 Commentary</w:t>
            </w:r>
          </w:p>
        </w:tc>
        <w:tc>
          <w:tcPr>
            <w:tcW w:type="dxa" w:w="2160"/>
            <w:shd w:val="clear" w:color="auto" w:fill="3B4259"/>
          </w:tcPr>
          <w:p>
            <w:r>
              <w:rPr>
                <w:rFonts w:ascii="Calibri" w:hAnsi="Calibri"/>
                <w:b/>
                <w:color w:val="FFFFFF"/>
                <w:sz w:val="22"/>
              </w:rPr>
              <w:t>Relevance to DUK</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Load Growth / Data Centers</w:t>
            </w:r>
          </w:p>
        </w:tc>
        <w:tc>
          <w:tcPr>
            <w:tcW w:type="dxa" w:w="2160"/>
          </w:tcPr>
          <w:p>
            <w:r>
              <w:rPr>
                <w:rFonts w:ascii="Calibri" w:hAnsi="Calibri"/>
                <w:sz w:val="22"/>
              </w:rPr>
              <w:t>Added ~6 GW of newly contracted large load in Q2 alone (including a 3.2 GW, 25-year OpenAI contract at Georgia Power). Total contracted large load now &gt;17 GW by mid-2030s. Prospective pipeline remains &gt;75 GW. Data-center usage up 55% YoY in Q2; up 49% YTD. System-wide data-center load now exceeds 1.2 GW, up &gt;500 MW YoY. Weather-normal retail sales up 2.3% YTD — highest growth in nearly two decades.</w:t>
            </w:r>
          </w:p>
        </w:tc>
        <w:tc>
          <w:tcPr>
            <w:tcW w:type="dxa" w:w="2160"/>
          </w:tcPr>
          <w:p>
            <w:r>
              <w:rPr>
                <w:rFonts w:ascii="Calibri" w:hAnsi="Calibri"/>
                <w:sz w:val="22"/>
              </w:rPr>
              <w:t>Highly direct: SO and DUK share the Southeast geography and are competing for the same hyperscaler demand. SO’s 6 GW in a single quarter sets a high bar for DUK’s Q2 ESA update (DUK signed 2.7 GW in Q1). The 55% YoY data-center usage growth validates DUK’s load growth thesis for its Carolinas and Florida territories.</w:t>
            </w:r>
          </w:p>
        </w:tc>
        <w:tc>
          <w:tcPr>
            <w:tcW w:type="dxa" w:w="2160"/>
          </w:tcPr>
          <w:p>
            <w:r>
              <w:rPr>
                <w:rFonts w:ascii="Calibri" w:hAnsi="Calibri"/>
                <w:b/>
                <w:sz w:val="22"/>
              </w:rPr>
              <w:t>Direct</w:t>
            </w:r>
          </w:p>
        </w:tc>
      </w:tr>
      <w:tr>
        <w:tc>
          <w:tcPr>
            <w:tcW w:type="dxa" w:w="2160"/>
          </w:tcPr>
          <w:p>
            <w:r>
              <w:rPr>
                <w:rFonts w:ascii="Calibri" w:hAnsi="Calibri"/>
                <w:sz w:val="22"/>
              </w:rPr>
              <w:t>Customer Protections / Tariff Framework</w:t>
            </w:r>
          </w:p>
        </w:tc>
        <w:tc>
          <w:tcPr>
            <w:tcW w:type="dxa" w:w="2160"/>
          </w:tcPr>
          <w:p>
            <w:r>
              <w:rPr>
                <w:rFonts w:ascii="Calibri" w:hAnsi="Calibri"/>
                <w:sz w:val="22"/>
              </w:rPr>
              <w:t>Large-load contracts include minimum bills covering 100% of incremental cost to serve, termination payments, and ~$21B of collateral across the 17 GW portfolio (A-minus or better credit quality). OpenAI contract includes 1 GW of flexible demand response — a first for SO with a data center.</w:t>
            </w:r>
          </w:p>
        </w:tc>
        <w:tc>
          <w:tcPr>
            <w:tcW w:type="dxa" w:w="2160"/>
          </w:tcPr>
          <w:p>
            <w:r>
              <w:rPr>
                <w:rFonts w:ascii="Calibri" w:hAnsi="Calibri"/>
                <w:sz w:val="22"/>
              </w:rPr>
              <w:t>Direct: DUK’s ESA framework includes similar protections (minimum demand, credit support, refundable capital advances, termination charges). SO’s demand-response innovation is a potential model for DUK’s large-load tariff proceeding in NC.</w:t>
            </w:r>
          </w:p>
        </w:tc>
        <w:tc>
          <w:tcPr>
            <w:tcW w:type="dxa" w:w="2160"/>
          </w:tcPr>
          <w:p>
            <w:r>
              <w:rPr>
                <w:rFonts w:ascii="Calibri" w:hAnsi="Calibri"/>
                <w:b/>
                <w:sz w:val="22"/>
              </w:rPr>
              <w:t>Direct</w:t>
            </w:r>
          </w:p>
        </w:tc>
      </w:tr>
      <w:tr>
        <w:tc>
          <w:tcPr>
            <w:tcW w:type="dxa" w:w="2160"/>
          </w:tcPr>
          <w:p>
            <w:r>
              <w:rPr>
                <w:rFonts w:ascii="Calibri" w:hAnsi="Calibri"/>
                <w:sz w:val="22"/>
              </w:rPr>
              <w:t>Rate Affordability</w:t>
            </w:r>
          </w:p>
        </w:tc>
        <w:tc>
          <w:tcPr>
            <w:tcW w:type="dxa" w:w="2160"/>
          </w:tcPr>
          <w:p>
            <w:r>
              <w:rPr>
                <w:rFonts w:ascii="Calibri" w:hAnsi="Calibri"/>
                <w:sz w:val="22"/>
              </w:rPr>
              <w:t>Retail base rates held stable in Georgia and Alabama until 2029. Joined the National Ratepayer Protection Pledge. Management stated: “Electric rates are not going up in our territory.” Growth provides opportunity to deliver rate stability.</w:t>
            </w:r>
          </w:p>
        </w:tc>
        <w:tc>
          <w:tcPr>
            <w:tcW w:type="dxa" w:w="2160"/>
          </w:tcPr>
          <w:p>
            <w:r>
              <w:rPr>
                <w:rFonts w:ascii="Calibri" w:hAnsi="Calibri"/>
                <w:sz w:val="22"/>
              </w:rPr>
              <w:t>Direct: DUK faces similar affordability pressure in NC (rate case ongoing). SO’s ability to hold rates stable through 2029 despite massive capital investment is a positive precedent for DUK’s regulatory strategy.</w:t>
            </w:r>
          </w:p>
        </w:tc>
        <w:tc>
          <w:tcPr>
            <w:tcW w:type="dxa" w:w="2160"/>
          </w:tcPr>
          <w:p>
            <w:r>
              <w:rPr>
                <w:rFonts w:ascii="Calibri" w:hAnsi="Calibri"/>
                <w:b/>
                <w:sz w:val="22"/>
              </w:rPr>
              <w:t>Direct</w:t>
            </w:r>
          </w:p>
        </w:tc>
      </w:tr>
      <w:tr>
        <w:tc>
          <w:tcPr>
            <w:tcW w:type="dxa" w:w="2160"/>
          </w:tcPr>
          <w:p>
            <w:r>
              <w:rPr>
                <w:rFonts w:ascii="Calibri" w:hAnsi="Calibri"/>
                <w:sz w:val="22"/>
              </w:rPr>
              <w:t>Financing / Equity</w:t>
            </w:r>
          </w:p>
        </w:tc>
        <w:tc>
          <w:tcPr>
            <w:tcW w:type="dxa" w:w="2160"/>
          </w:tcPr>
          <w:p>
            <w:r>
              <w:rPr>
                <w:rFonts w:ascii="Calibri" w:hAnsi="Calibri"/>
                <w:sz w:val="22"/>
              </w:rPr>
              <w:t>Sourced $700M of equity via ATM in Q2; reduced projected remaining equity need by 2030 to $1.1B. Targeting FFO/debt of 17% by 2029. Committed to funding incremental capital in a “credit supportive manner.”</w:t>
            </w:r>
          </w:p>
        </w:tc>
        <w:tc>
          <w:tcPr>
            <w:tcW w:type="dxa" w:w="2160"/>
          </w:tcPr>
          <w:p>
            <w:r>
              <w:rPr>
                <w:rFonts w:ascii="Calibri" w:hAnsi="Calibri"/>
                <w:sz w:val="22"/>
              </w:rPr>
              <w:t>Indirect: DUK targets 14.5% FFO/debt in 2026 and 15% long-term. SO’s proactive ATM equity strategy is a model for managing large capital programs without balance sheet stress.</w:t>
            </w:r>
          </w:p>
        </w:tc>
        <w:tc>
          <w:tcPr>
            <w:tcW w:type="dxa" w:w="2160"/>
          </w:tcPr>
          <w:p>
            <w:r>
              <w:rPr>
                <w:rFonts w:ascii="Calibri" w:hAnsi="Calibri"/>
                <w:b/>
                <w:sz w:val="22"/>
              </w:rPr>
              <w:t>Indirect</w:t>
            </w:r>
          </w:p>
        </w:tc>
      </w:tr>
    </w:tbl>
    <w:p>
      <w:pPr>
        <w:pStyle w:val="Heading2"/>
      </w:pPr>
      <w:r>
        <w:rPr>
          <w:rFonts w:ascii="Calibri" w:hAnsi="Calibri"/>
          <w:b/>
          <w:color w:val="3B4259"/>
          <w:sz w:val="28"/>
        </w:rPr>
        <w:t>8.2 American Electric Power (AEP) — Q2 2026 Earnings Call (July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AEP Q2 2026 Commentary</w:t>
            </w:r>
          </w:p>
        </w:tc>
        <w:tc>
          <w:tcPr>
            <w:tcW w:type="dxa" w:w="2160"/>
            <w:shd w:val="clear" w:color="auto" w:fill="3B4259"/>
          </w:tcPr>
          <w:p>
            <w:r>
              <w:rPr>
                <w:rFonts w:ascii="Calibri" w:hAnsi="Calibri"/>
                <w:b/>
                <w:color w:val="FFFFFF"/>
                <w:sz w:val="22"/>
              </w:rPr>
              <w:t>Relevance to DUK</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Load Growth / Data Centers</w:t>
            </w:r>
          </w:p>
        </w:tc>
        <w:tc>
          <w:tcPr>
            <w:tcW w:type="dxa" w:w="2160"/>
          </w:tcPr>
          <w:p>
            <w:r>
              <w:rPr>
                <w:rFonts w:ascii="Calibri" w:hAnsi="Calibri"/>
                <w:sz w:val="22"/>
              </w:rPr>
              <w:t>Contracted an additional 6 GW of load in Q2; total now 69 GW of contracted load additions through 2030. Secured ~$2B in cash/collateral for ERCOT batch-zero commitments. 195 GW of active interconnection requests. $78B 5-year capital plan does not anticipate this magnitude of load growth — implying further upside to capex.</w:t>
            </w:r>
          </w:p>
        </w:tc>
        <w:tc>
          <w:tcPr>
            <w:tcW w:type="dxa" w:w="2160"/>
          </w:tcPr>
          <w:p>
            <w:r>
              <w:rPr>
                <w:rFonts w:ascii="Calibri" w:hAnsi="Calibri"/>
                <w:sz w:val="22"/>
              </w:rPr>
              <w:t>Direct (Indiana/Ohio overlap): AEP and DUK share Indiana and Ohio service territories. AEP’s 12 GW of contracted load in Ohio and 13 GW of secured turbine capacity through 2031 are directly relevant to DUK’s Indiana and Ohio operations. The implication that the $78B plan understates capex needs is a positive read-through for DUK’s own $103B plan.</w:t>
            </w:r>
          </w:p>
        </w:tc>
        <w:tc>
          <w:tcPr>
            <w:tcW w:type="dxa" w:w="2160"/>
          </w:tcPr>
          <w:p>
            <w:r>
              <w:rPr>
                <w:rFonts w:ascii="Calibri" w:hAnsi="Calibri"/>
                <w:b/>
                <w:sz w:val="22"/>
              </w:rPr>
              <w:t>Direct</w:t>
            </w:r>
          </w:p>
        </w:tc>
      </w:tr>
      <w:tr>
        <w:tc>
          <w:tcPr>
            <w:tcW w:type="dxa" w:w="2160"/>
          </w:tcPr>
          <w:p>
            <w:r>
              <w:rPr>
                <w:rFonts w:ascii="Calibri" w:hAnsi="Calibri"/>
                <w:sz w:val="22"/>
              </w:rPr>
              <w:t>Rate Affordability / Regulatory</w:t>
            </w:r>
          </w:p>
        </w:tc>
        <w:tc>
          <w:tcPr>
            <w:tcW w:type="dxa" w:w="2160"/>
          </w:tcPr>
          <w:p>
            <w:r>
              <w:rPr>
                <w:rFonts w:ascii="Calibri" w:hAnsi="Calibri"/>
                <w:sz w:val="22"/>
              </w:rPr>
              <w:t>Projects $16B in fixed-cost offsets for residential customers from new large-load interconnections. Filed base rate reductions in Ohio and Indiana Michigan Power. Secured 9.84% ROE in Ohio (up from 9.7%). Virginia large-load tariff approved — 5th approved tariff across portfolio. DOE loan guarantee of $3.3B for Texas transmission ($685M in customer savings).</w:t>
            </w:r>
          </w:p>
        </w:tc>
        <w:tc>
          <w:tcPr>
            <w:tcW w:type="dxa" w:w="2160"/>
          </w:tcPr>
          <w:p>
            <w:r>
              <w:rPr>
                <w:rFonts w:ascii="Calibri" w:hAnsi="Calibri"/>
                <w:sz w:val="22"/>
              </w:rPr>
              <w:t>Direct (Indiana/Ohio): AEP’s base rate reductions in Indiana and Ohio, enabled by large-load cost offsets, are a direct read-through for DUK’s Indiana operations and its NC rate case strategy. The 9.84% ROE in Ohio provides a benchmark for DUK’s 9.8% NC settlement ROE.</w:t>
            </w:r>
          </w:p>
        </w:tc>
        <w:tc>
          <w:tcPr>
            <w:tcW w:type="dxa" w:w="2160"/>
          </w:tcPr>
          <w:p>
            <w:r>
              <w:rPr>
                <w:rFonts w:ascii="Calibri" w:hAnsi="Calibri"/>
                <w:b/>
                <w:sz w:val="22"/>
              </w:rPr>
              <w:t>Direct</w:t>
            </w:r>
          </w:p>
        </w:tc>
      </w:tr>
      <w:tr>
        <w:tc>
          <w:tcPr>
            <w:tcW w:type="dxa" w:w="2160"/>
          </w:tcPr>
          <w:p>
            <w:r>
              <w:rPr>
                <w:rFonts w:ascii="Calibri" w:hAnsi="Calibri"/>
                <w:sz w:val="22"/>
              </w:rPr>
              <w:t>Capital Plan / Turbine Procurement</w:t>
            </w:r>
          </w:p>
        </w:tc>
        <w:tc>
          <w:tcPr>
            <w:tcW w:type="dxa" w:w="2160"/>
          </w:tcPr>
          <w:p>
            <w:r>
              <w:rPr>
                <w:rFonts w:ascii="Calibri" w:hAnsi="Calibri"/>
                <w:sz w:val="22"/>
              </w:rPr>
              <w:t>Secured additional 3 GW of turbines in Q2; total 13 GW secured through 2031. Evaluating up to 10 GW of incremental turbine capacity through 2035. $78B plan has &gt;$10B of incremental investment in line of sight.</w:t>
            </w:r>
          </w:p>
        </w:tc>
        <w:tc>
          <w:tcPr>
            <w:tcW w:type="dxa" w:w="2160"/>
          </w:tcPr>
          <w:p>
            <w:r>
              <w:rPr>
                <w:rFonts w:ascii="Calibri" w:hAnsi="Calibri"/>
                <w:sz w:val="22"/>
              </w:rPr>
              <w:t>Indirect: DUK’s $103B plan includes significant gas generation build. AEP’s aggressive turbine procurement highlights supply chain competition — DUK must similarly secure equipment to execute its capital plan.</w:t>
            </w:r>
          </w:p>
        </w:tc>
        <w:tc>
          <w:tcPr>
            <w:tcW w:type="dxa" w:w="2160"/>
          </w:tcPr>
          <w:p>
            <w:r>
              <w:rPr>
                <w:rFonts w:ascii="Calibri" w:hAnsi="Calibri"/>
                <w:b/>
                <w:sz w:val="22"/>
              </w:rPr>
              <w:t>Indirect</w:t>
            </w:r>
          </w:p>
        </w:tc>
      </w:tr>
      <w:tr>
        <w:tc>
          <w:tcPr>
            <w:tcW w:type="dxa" w:w="2160"/>
          </w:tcPr>
          <w:p>
            <w:r>
              <w:rPr>
                <w:rFonts w:ascii="Calibri" w:hAnsi="Calibri"/>
                <w:sz w:val="22"/>
              </w:rPr>
              <w:t>Financing</w:t>
            </w:r>
          </w:p>
        </w:tc>
        <w:tc>
          <w:tcPr>
            <w:tcW w:type="dxa" w:w="2160"/>
          </w:tcPr>
          <w:p>
            <w:r>
              <w:rPr>
                <w:rFonts w:ascii="Calibri" w:hAnsi="Calibri"/>
                <w:sz w:val="22"/>
              </w:rPr>
              <w:t>Executed $3B marketed equity transaction (settled by May 2028); addressed all anticipated marketed equity needs for the $78B plan. Targeting FFO/debt of 14–15%. Secured ~$5B in DOE loans and ~$400M in DOE grants.</w:t>
            </w:r>
          </w:p>
        </w:tc>
        <w:tc>
          <w:tcPr>
            <w:tcW w:type="dxa" w:w="2160"/>
          </w:tcPr>
          <w:p>
            <w:r>
              <w:rPr>
                <w:rFonts w:ascii="Calibri" w:hAnsi="Calibri"/>
                <w:sz w:val="22"/>
              </w:rPr>
              <w:t>Indirect: DUK’s FFO/debt target of 14.5% aligns with AEP’s 14–15% range. AEP’s use of DOE loans/grants as lower-cost capital is a strategy DUK could replicate.</w:t>
            </w:r>
          </w:p>
        </w:tc>
        <w:tc>
          <w:tcPr>
            <w:tcW w:type="dxa" w:w="2160"/>
          </w:tcPr>
          <w:p>
            <w:r>
              <w:rPr>
                <w:rFonts w:ascii="Calibri" w:hAnsi="Calibri"/>
                <w:b/>
                <w:sz w:val="22"/>
              </w:rPr>
              <w:t>Indirect</w:t>
            </w:r>
          </w:p>
        </w:tc>
      </w:tr>
    </w:tbl>
    <w:p>
      <w:pPr>
        <w:pStyle w:val="Heading2"/>
      </w:pPr>
      <w:r>
        <w:rPr>
          <w:rFonts w:ascii="Calibri" w:hAnsi="Calibri"/>
          <w:b/>
          <w:color w:val="3B4259"/>
          <w:sz w:val="28"/>
        </w:rPr>
        <w:t>8.3 Dominion Energy (D) — Q2 2026 Earnings Call (July 31,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D Q2 2026 Commentary</w:t>
            </w:r>
          </w:p>
        </w:tc>
        <w:tc>
          <w:tcPr>
            <w:tcW w:type="dxa" w:w="2160"/>
            <w:shd w:val="clear" w:color="auto" w:fill="3B4259"/>
          </w:tcPr>
          <w:p>
            <w:r>
              <w:rPr>
                <w:rFonts w:ascii="Calibri" w:hAnsi="Calibri"/>
                <w:b/>
                <w:color w:val="FFFFFF"/>
                <w:sz w:val="22"/>
              </w:rPr>
              <w:t>Relevance to DUK</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Load Growth / Data Centers</w:t>
            </w:r>
          </w:p>
        </w:tc>
        <w:tc>
          <w:tcPr>
            <w:tcW w:type="dxa" w:w="2160"/>
          </w:tcPr>
          <w:p>
            <w:r>
              <w:rPr>
                <w:rFonts w:ascii="Calibri" w:hAnsi="Calibri"/>
                <w:sz w:val="22"/>
              </w:rPr>
              <w:t>Now has &gt;53 GW of data-center capacity in various stages of contracting, including ~12 GW under ESAs. Added &gt;5 GW of contracts since year-end (+11%). Nine of the Dom zone’s top-10 all-time peak days occurred in 2026, including the 8 highest summer peak days in the last two months. Adjusted EPS of $0.79 vs. $0.68 consensus (+16% beat).</w:t>
            </w:r>
          </w:p>
        </w:tc>
        <w:tc>
          <w:tcPr>
            <w:tcW w:type="dxa" w:w="2160"/>
          </w:tcPr>
          <w:p>
            <w:r>
              <w:rPr>
                <w:rFonts w:ascii="Calibri" w:hAnsi="Calibri"/>
                <w:sz w:val="22"/>
              </w:rPr>
              <w:t>Direct: Dominion operates in Virginia, North Carolina, and South Carolina — directly overlapping with DUK’s Carolinas territory. The record peak demand days in the Dom zone are a direct read-through for DUK’s Carolinas summer demand. The +16% EPS beat is the strongest positive read-through for DUK’s own Q2 setup.</w:t>
            </w:r>
          </w:p>
        </w:tc>
        <w:tc>
          <w:tcPr>
            <w:tcW w:type="dxa" w:w="2160"/>
          </w:tcPr>
          <w:p>
            <w:r>
              <w:rPr>
                <w:rFonts w:ascii="Calibri" w:hAnsi="Calibri"/>
                <w:b/>
                <w:sz w:val="22"/>
              </w:rPr>
              <w:t>Direct</w:t>
            </w:r>
          </w:p>
        </w:tc>
      </w:tr>
      <w:tr>
        <w:tc>
          <w:tcPr>
            <w:tcW w:type="dxa" w:w="2160"/>
          </w:tcPr>
          <w:p>
            <w:r>
              <w:rPr>
                <w:rFonts w:ascii="Calibri" w:hAnsi="Calibri"/>
                <w:sz w:val="22"/>
              </w:rPr>
              <w:t>Grid Stability / Data Center Risk</w:t>
            </w:r>
          </w:p>
        </w:tc>
        <w:tc>
          <w:tcPr>
            <w:tcW w:type="dxa" w:w="2160"/>
          </w:tcPr>
          <w:p>
            <w:r>
              <w:rPr>
                <w:rFonts w:ascii="Calibri" w:hAnsi="Calibri"/>
                <w:sz w:val="22"/>
              </w:rPr>
              <w:t>A transmission line fault caused data centers to shift to backup power rather than “ride through” the momentary event, creating a grid disturbance. Management noted ongoing collaboration with customers and continuous transmission investment to mitigate future events.</w:t>
            </w:r>
          </w:p>
        </w:tc>
        <w:tc>
          <w:tcPr>
            <w:tcW w:type="dxa" w:w="2160"/>
          </w:tcPr>
          <w:p>
            <w:r>
              <w:rPr>
                <w:rFonts w:ascii="Calibri" w:hAnsi="Calibri"/>
                <w:sz w:val="22"/>
              </w:rPr>
              <w:t>Direct: The July 22 PJM grid event (3 GW of data-center load dropping simultaneously) is directly relevant to DUK’s large-load tariff proceeding in NC. DUK may face similar grid stability questions on the Q2 call.</w:t>
            </w:r>
          </w:p>
        </w:tc>
        <w:tc>
          <w:tcPr>
            <w:tcW w:type="dxa" w:w="2160"/>
          </w:tcPr>
          <w:p>
            <w:r>
              <w:rPr>
                <w:rFonts w:ascii="Calibri" w:hAnsi="Calibri"/>
                <w:b/>
                <w:sz w:val="22"/>
              </w:rPr>
              <w:t>Direct</w:t>
            </w:r>
          </w:p>
        </w:tc>
      </w:tr>
      <w:tr>
        <w:tc>
          <w:tcPr>
            <w:tcW w:type="dxa" w:w="2160"/>
          </w:tcPr>
          <w:p>
            <w:r>
              <w:rPr>
                <w:rFonts w:ascii="Calibri" w:hAnsi="Calibri"/>
                <w:sz w:val="22"/>
              </w:rPr>
              <w:t>Regulatory / Rate Affordability</w:t>
            </w:r>
          </w:p>
        </w:tc>
        <w:tc>
          <w:tcPr>
            <w:tcW w:type="dxa" w:w="2160"/>
          </w:tcPr>
          <w:p>
            <w:r>
              <w:rPr>
                <w:rFonts w:ascii="Calibri" w:hAnsi="Calibri"/>
                <w:sz w:val="22"/>
              </w:rPr>
              <w:t>2025 rider filing approved 100% of revenue requests (July 29). SC electric rate case settlement unanimously approved; rates effective July 2026. Large-load framework ensures customers pay their fair share and protects existing customers from cost shifts.</w:t>
            </w:r>
          </w:p>
        </w:tc>
        <w:tc>
          <w:tcPr>
            <w:tcW w:type="dxa" w:w="2160"/>
          </w:tcPr>
          <w:p>
            <w:r>
              <w:rPr>
                <w:rFonts w:ascii="Calibri" w:hAnsi="Calibri"/>
                <w:sz w:val="22"/>
              </w:rPr>
              <w:t>Direct: Dominion’s 100% rider approval and SC settlement are positive precedents for DUK’s own SC and NC regulatory proceedings. The large-load framework language mirrors DUK’s ESA structure.</w:t>
            </w:r>
          </w:p>
        </w:tc>
        <w:tc>
          <w:tcPr>
            <w:tcW w:type="dxa" w:w="2160"/>
          </w:tcPr>
          <w:p>
            <w:r>
              <w:rPr>
                <w:rFonts w:ascii="Calibri" w:hAnsi="Calibri"/>
                <w:b/>
                <w:sz w:val="22"/>
              </w:rPr>
              <w:t>Direct</w:t>
            </w:r>
          </w:p>
        </w:tc>
      </w:tr>
      <w:tr>
        <w:tc>
          <w:tcPr>
            <w:tcW w:type="dxa" w:w="2160"/>
          </w:tcPr>
          <w:p>
            <w:r>
              <w:rPr>
                <w:rFonts w:ascii="Calibri" w:hAnsi="Calibri"/>
                <w:sz w:val="22"/>
              </w:rPr>
              <w:t>Financing</w:t>
            </w:r>
          </w:p>
        </w:tc>
        <w:tc>
          <w:tcPr>
            <w:tcW w:type="dxa" w:w="2160"/>
          </w:tcPr>
          <w:p>
            <w:r>
              <w:rPr>
                <w:rFonts w:ascii="Calibri" w:hAnsi="Calibri"/>
                <w:sz w:val="22"/>
              </w:rPr>
              <w:t>Completed 2026 common equity program via ATM. FFO/debt above 15% on both FY2025 and Q2 LTM basis.</w:t>
            </w:r>
          </w:p>
        </w:tc>
        <w:tc>
          <w:tcPr>
            <w:tcW w:type="dxa" w:w="2160"/>
          </w:tcPr>
          <w:p>
            <w:r>
              <w:rPr>
                <w:rFonts w:ascii="Calibri" w:hAnsi="Calibri"/>
                <w:sz w:val="22"/>
              </w:rPr>
              <w:t>Indirect: DUK targets 14.5% FFO/debt in 2026. Dominion’s &gt;15% metric provides a positive credit read-through for the sector.</w:t>
            </w:r>
          </w:p>
        </w:tc>
        <w:tc>
          <w:tcPr>
            <w:tcW w:type="dxa" w:w="2160"/>
          </w:tcPr>
          <w:p>
            <w:r>
              <w:rPr>
                <w:rFonts w:ascii="Calibri" w:hAnsi="Calibri"/>
                <w:b/>
                <w:sz w:val="22"/>
              </w:rPr>
              <w:t>Indirect</w:t>
            </w:r>
          </w:p>
        </w:tc>
      </w:tr>
    </w:tbl>
    <w:p>
      <w:pPr>
        <w:pStyle w:val="Heading2"/>
      </w:pPr>
      <w:r>
        <w:rPr>
          <w:rFonts w:ascii="Calibri" w:hAnsi="Calibri"/>
          <w:b/>
          <w:color w:val="3B4259"/>
          <w:sz w:val="28"/>
        </w:rPr>
        <w:t>8.4 Entergy (ETR) — Q2 2026 Earnings Call (July 29,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ETR Q2 2026 Commentary</w:t>
            </w:r>
          </w:p>
        </w:tc>
        <w:tc>
          <w:tcPr>
            <w:tcW w:type="dxa" w:w="2160"/>
            <w:shd w:val="clear" w:color="auto" w:fill="3B4259"/>
          </w:tcPr>
          <w:p>
            <w:r>
              <w:rPr>
                <w:rFonts w:ascii="Calibri" w:hAnsi="Calibri"/>
                <w:b/>
                <w:color w:val="FFFFFF"/>
                <w:sz w:val="22"/>
              </w:rPr>
              <w:t>Relevance to DUK</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Load Growth / Data Centers</w:t>
            </w:r>
          </w:p>
        </w:tc>
        <w:tc>
          <w:tcPr>
            <w:tcW w:type="dxa" w:w="2160"/>
          </w:tcPr>
          <w:p>
            <w:r>
              <w:rPr>
                <w:rFonts w:ascii="Calibri" w:hAnsi="Calibri"/>
                <w:sz w:val="22"/>
              </w:rPr>
              <w:t>7–12 GW of hyperscale data-center potential in pipeline; 3–5 GW of traditional industrial interest. “Fair Share Plus” pledge ensures data centers pay full cost to serve and their fair share of fixed costs; $7B in customer bill benefits expected from signed agreements. Louisiana Governor signed executive order requiring data centers to provide customer benefits to qualify for state sales tax exemptions.</w:t>
            </w:r>
          </w:p>
        </w:tc>
        <w:tc>
          <w:tcPr>
            <w:tcW w:type="dxa" w:w="2160"/>
          </w:tcPr>
          <w:p>
            <w:r>
              <w:rPr>
                <w:rFonts w:ascii="Calibri" w:hAnsi="Calibri"/>
                <w:sz w:val="22"/>
              </w:rPr>
              <w:t>Indirect: ETR operates in the Gulf South (Louisiana, Mississippi, Texas, Arkansas) — not a direct geographic overlap with DUK. However, the “Fair Share Plus” framework and the Louisiana executive order are relevant models for DUK’s NC large-load tariff proceeding.</w:t>
            </w:r>
          </w:p>
        </w:tc>
        <w:tc>
          <w:tcPr>
            <w:tcW w:type="dxa" w:w="2160"/>
          </w:tcPr>
          <w:p>
            <w:r>
              <w:rPr>
                <w:rFonts w:ascii="Calibri" w:hAnsi="Calibri"/>
                <w:b/>
                <w:sz w:val="22"/>
              </w:rPr>
              <w:t>Indirect</w:t>
            </w:r>
          </w:p>
        </w:tc>
      </w:tr>
      <w:tr>
        <w:tc>
          <w:tcPr>
            <w:tcW w:type="dxa" w:w="2160"/>
          </w:tcPr>
          <w:p>
            <w:r>
              <w:rPr>
                <w:rFonts w:ascii="Calibri" w:hAnsi="Calibri"/>
                <w:sz w:val="22"/>
              </w:rPr>
              <w:t>Weather / Demand</w:t>
            </w:r>
          </w:p>
        </w:tc>
        <w:tc>
          <w:tcPr>
            <w:tcW w:type="dxa" w:w="2160"/>
          </w:tcPr>
          <w:p>
            <w:r>
              <w:rPr>
                <w:rFonts w:ascii="Calibri" w:hAnsi="Calibri"/>
                <w:sz w:val="22"/>
              </w:rPr>
              <w:t>Q2 adjusted EPS of $1.03, slightly below prior year as weather was close to normal vs. warmer weather in 2025. Excluding weather, retail sales growth was positive, driven by 10% industrial sales growth. Two minor tropical storms with nominal restoration costs.</w:t>
            </w:r>
          </w:p>
        </w:tc>
        <w:tc>
          <w:tcPr>
            <w:tcW w:type="dxa" w:w="2160"/>
          </w:tcPr>
          <w:p>
            <w:r>
              <w:rPr>
                <w:rFonts w:ascii="Calibri" w:hAnsi="Calibri"/>
                <w:sz w:val="22"/>
              </w:rPr>
              <w:t>Indirect: Weather normalization is relevant for DUK’s Q2 results. ETR’s experience of near-normal weather in Q2 2026 (vs. warmer Q2 2025) is a potential headwind for DUK’s Q2 revenue if the same pattern holds in the Carolinas and Florida.</w:t>
            </w:r>
          </w:p>
        </w:tc>
        <w:tc>
          <w:tcPr>
            <w:tcW w:type="dxa" w:w="2160"/>
          </w:tcPr>
          <w:p>
            <w:r>
              <w:rPr>
                <w:rFonts w:ascii="Calibri" w:hAnsi="Calibri"/>
                <w:b/>
                <w:sz w:val="22"/>
              </w:rPr>
              <w:t>Indirect</w:t>
            </w:r>
          </w:p>
        </w:tc>
      </w:tr>
      <w:tr>
        <w:tc>
          <w:tcPr>
            <w:tcW w:type="dxa" w:w="2160"/>
          </w:tcPr>
          <w:p>
            <w:r>
              <w:rPr>
                <w:rFonts w:ascii="Calibri" w:hAnsi="Calibri"/>
                <w:sz w:val="22"/>
              </w:rPr>
              <w:t>O&amp;M / Cost Pressure</w:t>
            </w:r>
          </w:p>
        </w:tc>
        <w:tc>
          <w:tcPr>
            <w:tcW w:type="dxa" w:w="2160"/>
          </w:tcPr>
          <w:p>
            <w:r>
              <w:rPr>
                <w:rFonts w:ascii="Calibri" w:hAnsi="Calibri"/>
                <w:sz w:val="22"/>
              </w:rPr>
              <w:t>Higher other O&amp;M, higher interest expense, and higher share count from settling equity forwards weighed on Q2 results. Q3 2026 O&amp;M expected to be $0.05–$0.10 higher than Q3 2025, driven by expenses recovered through riders. Majority of YoY earnings increase expected in Q4 due to flex spending.</w:t>
            </w:r>
          </w:p>
        </w:tc>
        <w:tc>
          <w:tcPr>
            <w:tcW w:type="dxa" w:w="2160"/>
          </w:tcPr>
          <w:p>
            <w:r>
              <w:rPr>
                <w:rFonts w:ascii="Calibri" w:hAnsi="Calibri"/>
                <w:sz w:val="22"/>
              </w:rPr>
              <w:t>Indirect: DUK targets flat O&amp;M for FY2026. ETR’s rising O&amp;M trend (driven by rider-recovered expenses) is a sector-wide theme that could affect DUK’s Q2 results, particularly given Q1 storm-related O&amp;M.</w:t>
            </w:r>
          </w:p>
        </w:tc>
        <w:tc>
          <w:tcPr>
            <w:tcW w:type="dxa" w:w="2160"/>
          </w:tcPr>
          <w:p>
            <w:r>
              <w:rPr>
                <w:rFonts w:ascii="Calibri" w:hAnsi="Calibri"/>
                <w:b/>
                <w:sz w:val="22"/>
              </w:rPr>
              <w:t>Indirect</w:t>
            </w:r>
          </w:p>
        </w:tc>
      </w:tr>
      <w:tr>
        <w:tc>
          <w:tcPr>
            <w:tcW w:type="dxa" w:w="2160"/>
          </w:tcPr>
          <w:p>
            <w:r>
              <w:rPr>
                <w:rFonts w:ascii="Calibri" w:hAnsi="Calibri"/>
                <w:sz w:val="22"/>
              </w:rPr>
              <w:t>Financing / Credit</w:t>
            </w:r>
          </w:p>
        </w:tc>
        <w:tc>
          <w:tcPr>
            <w:tcW w:type="dxa" w:w="2160"/>
          </w:tcPr>
          <w:p>
            <w:r>
              <w:rPr>
                <w:rFonts w:ascii="Calibri" w:hAnsi="Calibri"/>
                <w:sz w:val="22"/>
              </w:rPr>
              <w:t>FFO/debt at or above 15% throughout outlook (Moody’s metric). S&amp;P noted ETR’s credit profile benefits from data-center expansion due to “disciplined contracting and constructive regulatory tools.” Equity plan unchanged from Investor Day; 60% of 5-year equity plan contracted.</w:t>
            </w:r>
          </w:p>
        </w:tc>
        <w:tc>
          <w:tcPr>
            <w:tcW w:type="dxa" w:w="2160"/>
          </w:tcPr>
          <w:p>
            <w:r>
              <w:rPr>
                <w:rFonts w:ascii="Calibri" w:hAnsi="Calibri"/>
                <w:sz w:val="22"/>
              </w:rPr>
              <w:t>Indirect: S&amp;P’s positive credit commentary on data-center utilities with disciplined contracting is a positive read-through for DUK’s own credit profile, given its similar ESA framework.</w:t>
            </w:r>
          </w:p>
        </w:tc>
        <w:tc>
          <w:tcPr>
            <w:tcW w:type="dxa" w:w="2160"/>
          </w:tcPr>
          <w:p>
            <w:r>
              <w:rPr>
                <w:rFonts w:ascii="Calibri" w:hAnsi="Calibri"/>
                <w:b/>
                <w:sz w:val="22"/>
              </w:rPr>
              <w:t>Indirect</w:t>
            </w:r>
          </w:p>
        </w:tc>
      </w:tr>
    </w:tbl>
    <w:p>
      <w:pPr>
        <w:pStyle w:val="Heading2"/>
      </w:pPr>
      <w:r>
        <w:rPr>
          <w:rFonts w:ascii="Calibri" w:hAnsi="Calibri"/>
          <w:b/>
          <w:color w:val="3B4259"/>
          <w:sz w:val="28"/>
        </w:rPr>
        <w:t>8.5 NextEra Energy (NEE) — Q2 2026 Earnings Call (July 24,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NEE Q2 2026 Commentary</w:t>
            </w:r>
          </w:p>
        </w:tc>
        <w:tc>
          <w:tcPr>
            <w:tcW w:type="dxa" w:w="2160"/>
            <w:shd w:val="clear" w:color="auto" w:fill="3B4259"/>
          </w:tcPr>
          <w:p>
            <w:r>
              <w:rPr>
                <w:rFonts w:ascii="Calibri" w:hAnsi="Calibri"/>
                <w:b/>
                <w:color w:val="FFFFFF"/>
                <w:sz w:val="22"/>
              </w:rPr>
              <w:t>Relevance to DUK</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Load Growth / Data Centers</w:t>
            </w:r>
          </w:p>
        </w:tc>
        <w:tc>
          <w:tcPr>
            <w:tcW w:type="dxa" w:w="2160"/>
          </w:tcPr>
          <w:p>
            <w:r>
              <w:rPr>
                <w:rFonts w:ascii="Calibri" w:hAnsi="Calibri"/>
                <w:sz w:val="22"/>
              </w:rPr>
              <w:t>Updated FPL large-load expectations from 6 GW to 8 GW by 2032 as part of new 4-year rate agreement. ~21 GW of large-load interest at FPL; advanced discussions on 12 GW. Each GW of large load under FPL’s approved tariff equivalent to ~$2B of CapEx, earning the same ROE as other FPL investments. FPL added &gt;90,000 customers in Q2 YoY. Beat Q2 consensus: $1.15 adj. EPS vs. $1.11 est. (+3.6%).</w:t>
            </w:r>
          </w:p>
        </w:tc>
        <w:tc>
          <w:tcPr>
            <w:tcW w:type="dxa" w:w="2160"/>
          </w:tcPr>
          <w:p>
            <w:r>
              <w:rPr>
                <w:rFonts w:ascii="Calibri" w:hAnsi="Calibri"/>
                <w:sz w:val="22"/>
              </w:rPr>
              <w:t>Direct (Florida overlap): NEE’s FPL operates in Florida, directly overlapping with DUK’s Duke Energy Florida segment. FPL’s 8 GW large-load target and $2B/GW CapEx equivalent are directly relevant benchmarks for DUK’s Florida operations. The 90,000+ new customers in Q2 validates DUK’s Florida growth thesis.</w:t>
            </w:r>
          </w:p>
        </w:tc>
        <w:tc>
          <w:tcPr>
            <w:tcW w:type="dxa" w:w="2160"/>
          </w:tcPr>
          <w:p>
            <w:r>
              <w:rPr>
                <w:rFonts w:ascii="Calibri" w:hAnsi="Calibri"/>
                <w:b/>
                <w:sz w:val="22"/>
              </w:rPr>
              <w:t>Direct</w:t>
            </w:r>
          </w:p>
        </w:tc>
      </w:tr>
      <w:tr>
        <w:tc>
          <w:tcPr>
            <w:tcW w:type="dxa" w:w="2160"/>
          </w:tcPr>
          <w:p>
            <w:r>
              <w:rPr>
                <w:rFonts w:ascii="Calibri" w:hAnsi="Calibri"/>
                <w:sz w:val="22"/>
              </w:rPr>
              <w:t>Rate Affordability / Regulatory</w:t>
            </w:r>
          </w:p>
        </w:tc>
        <w:tc>
          <w:tcPr>
            <w:tcW w:type="dxa" w:w="2160"/>
          </w:tcPr>
          <w:p>
            <w:r>
              <w:rPr>
                <w:rFonts w:ascii="Calibri" w:hAnsi="Calibri"/>
                <w:sz w:val="22"/>
              </w:rPr>
              <w:t>FPL’s typical residential bill ~30% below national average; projected to increase only 2% annually through end of decade. Florida Governor signed bill codifying FPL’s large-load tariff into law. NEE and Dominion signed White House Ratepayer Protection Pledge. FERC Section 206 show-cause orders expected to “create yet another market shift” driving demand for load-matched generation.</w:t>
            </w:r>
          </w:p>
        </w:tc>
        <w:tc>
          <w:tcPr>
            <w:tcW w:type="dxa" w:w="2160"/>
          </w:tcPr>
          <w:p>
            <w:r>
              <w:rPr>
                <w:rFonts w:ascii="Calibri" w:hAnsi="Calibri"/>
                <w:sz w:val="22"/>
              </w:rPr>
              <w:t>Direct (Florida): Florida’s legislative codification of the large-load tariff is directly relevant to DUK’s Duke Energy Florida operations and its own large-load tariff strategy. The FERC 206 orders are relevant to DUK’s PJM-connected Indiana and Ohio operations.</w:t>
            </w:r>
          </w:p>
        </w:tc>
        <w:tc>
          <w:tcPr>
            <w:tcW w:type="dxa" w:w="2160"/>
          </w:tcPr>
          <w:p>
            <w:r>
              <w:rPr>
                <w:rFonts w:ascii="Calibri" w:hAnsi="Calibri"/>
                <w:b/>
                <w:sz w:val="22"/>
              </w:rPr>
              <w:t>Direct</w:t>
            </w:r>
          </w:p>
        </w:tc>
      </w:tr>
      <w:tr>
        <w:tc>
          <w:tcPr>
            <w:tcW w:type="dxa" w:w="2160"/>
          </w:tcPr>
          <w:p>
            <w:r>
              <w:rPr>
                <w:rFonts w:ascii="Calibri" w:hAnsi="Calibri"/>
                <w:sz w:val="22"/>
              </w:rPr>
              <w:t>Nuclear / SMR Strategy</w:t>
            </w:r>
          </w:p>
        </w:tc>
        <w:tc>
          <w:tcPr>
            <w:tcW w:type="dxa" w:w="2160"/>
          </w:tcPr>
          <w:p>
            <w:r>
              <w:rPr>
                <w:rFonts w:ascii="Calibri" w:hAnsi="Calibri"/>
                <w:sz w:val="22"/>
              </w:rPr>
              <w:t>Recommissioning Duane Arnold nuclear plant (target: Q1 2029). Evaluating SMR co-location at nuclear sites (6 GW of opportunities). Any new nuclear build requires “right commercial terms with appropriate risk-sharing mechanisms” and no customer cost-overrun risk.</w:t>
            </w:r>
          </w:p>
        </w:tc>
        <w:tc>
          <w:tcPr>
            <w:tcW w:type="dxa" w:w="2160"/>
          </w:tcPr>
          <w:p>
            <w:r>
              <w:rPr>
                <w:rFonts w:ascii="Calibri" w:hAnsi="Calibri"/>
                <w:sz w:val="22"/>
              </w:rPr>
              <w:t>Indirect: DUK operates the nation’s largest regulated nuclear fleet and has submitted an early site permit for a potential SMR. NEE’s cautious approach to new nuclear risk allocation is relevant to DUK’s SMR strategy.</w:t>
            </w:r>
          </w:p>
        </w:tc>
        <w:tc>
          <w:tcPr>
            <w:tcW w:type="dxa" w:w="2160"/>
          </w:tcPr>
          <w:p>
            <w:r>
              <w:rPr>
                <w:rFonts w:ascii="Calibri" w:hAnsi="Calibri"/>
                <w:b/>
                <w:sz w:val="22"/>
              </w:rPr>
              <w:t>Indirect</w:t>
            </w:r>
          </w:p>
        </w:tc>
      </w:tr>
      <w:tr>
        <w:tc>
          <w:tcPr>
            <w:tcW w:type="dxa" w:w="2160"/>
          </w:tcPr>
          <w:p>
            <w:r>
              <w:rPr>
                <w:rFonts w:ascii="Calibri" w:hAnsi="Calibri"/>
                <w:sz w:val="22"/>
              </w:rPr>
              <w:t>O&amp;M Efficiency</w:t>
            </w:r>
          </w:p>
        </w:tc>
        <w:tc>
          <w:tcPr>
            <w:tcW w:type="dxa" w:w="2160"/>
          </w:tcPr>
          <w:p>
            <w:r>
              <w:rPr>
                <w:rFonts w:ascii="Calibri" w:hAnsi="Calibri"/>
                <w:sz w:val="22"/>
              </w:rPr>
              <w:t>FPL’s non-fuel O&amp;M is &gt;70% better than the industry average on a $/MWh basis, contributing to consistently low bills.</w:t>
            </w:r>
          </w:p>
        </w:tc>
        <w:tc>
          <w:tcPr>
            <w:tcW w:type="dxa" w:w="2160"/>
          </w:tcPr>
          <w:p>
            <w:r>
              <w:rPr>
                <w:rFonts w:ascii="Calibri" w:hAnsi="Calibri"/>
                <w:sz w:val="22"/>
              </w:rPr>
              <w:t>Indirect: FPL’s O&amp;M efficiency benchmark is a useful comparison for DUK’s own cost management targets, particularly as DUK targets flat O&amp;M for FY2026.</w:t>
            </w:r>
          </w:p>
        </w:tc>
        <w:tc>
          <w:tcPr>
            <w:tcW w:type="dxa" w:w="2160"/>
          </w:tcPr>
          <w:p>
            <w:r>
              <w:rPr>
                <w:rFonts w:ascii="Calibri" w:hAnsi="Calibri"/>
                <w:b/>
                <w:sz w:val="22"/>
              </w:rPr>
              <w:t>Indirect</w:t>
            </w:r>
          </w:p>
        </w:tc>
      </w:tr>
    </w:tbl>
    <w:p>
      <w:pPr>
        <w:pStyle w:val="Heading2"/>
      </w:pPr>
      <w:r>
        <w:rPr>
          <w:rFonts w:ascii="Calibri" w:hAnsi="Calibri"/>
          <w:b/>
          <w:color w:val="3B4259"/>
          <w:sz w:val="28"/>
        </w:rPr>
        <w:t>8.6 Xcel Energy (XEL) — Q2 2026 Earnings Call (July 30,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XEL Q2 2026 Commentary</w:t>
            </w:r>
          </w:p>
        </w:tc>
        <w:tc>
          <w:tcPr>
            <w:tcW w:type="dxa" w:w="2160"/>
            <w:shd w:val="clear" w:color="auto" w:fill="3B4259"/>
          </w:tcPr>
          <w:p>
            <w:r>
              <w:rPr>
                <w:rFonts w:ascii="Calibri" w:hAnsi="Calibri"/>
                <w:b/>
                <w:color w:val="FFFFFF"/>
                <w:sz w:val="22"/>
              </w:rPr>
              <w:t>Relevance to DUK</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Load Growth / Data Centers</w:t>
            </w:r>
          </w:p>
        </w:tc>
        <w:tc>
          <w:tcPr>
            <w:tcW w:type="dxa" w:w="2160"/>
          </w:tcPr>
          <w:p>
            <w:r>
              <w:rPr>
                <w:rFonts w:ascii="Calibri" w:hAnsi="Calibri"/>
                <w:sz w:val="22"/>
              </w:rPr>
              <w:t>Added 3 GW of data-center demand to target plan at Q4 earnings. Currently 1 GW in operation/construction; 1 GW under signed ESAs. Anticipates 4 additional GW by year-end 2027. Each GW of data-center load drives $5–6B of generation investment. Large-load tariffs recently approved in Minnesota; filed in Colorado and Wisconsin. Philosophy: new large-load customers pay for the generation and interconnection they need.</w:t>
            </w:r>
          </w:p>
        </w:tc>
        <w:tc>
          <w:tcPr>
            <w:tcW w:type="dxa" w:w="2160"/>
          </w:tcPr>
          <w:p>
            <w:r>
              <w:rPr>
                <w:rFonts w:ascii="Calibri" w:hAnsi="Calibri"/>
                <w:sz w:val="22"/>
              </w:rPr>
              <w:t>Indirect: XEL operates in the Upper Midwest and Southwest — no direct geographic overlap with DUK. However, the $5–6B/GW generation investment benchmark and the large-load tariff approval framework are relevant industry benchmarks for DUK’s own capital planning and NC large-load tariff proceeding.</w:t>
            </w:r>
          </w:p>
        </w:tc>
        <w:tc>
          <w:tcPr>
            <w:tcW w:type="dxa" w:w="2160"/>
          </w:tcPr>
          <w:p>
            <w:r>
              <w:rPr>
                <w:rFonts w:ascii="Calibri" w:hAnsi="Calibri"/>
                <w:b/>
                <w:sz w:val="22"/>
              </w:rPr>
              <w:t>Indirect</w:t>
            </w:r>
          </w:p>
        </w:tc>
      </w:tr>
      <w:tr>
        <w:tc>
          <w:tcPr>
            <w:tcW w:type="dxa" w:w="2160"/>
          </w:tcPr>
          <w:p>
            <w:r>
              <w:rPr>
                <w:rFonts w:ascii="Calibri" w:hAnsi="Calibri"/>
                <w:sz w:val="22"/>
              </w:rPr>
              <w:t>Regulatory Execution</w:t>
            </w:r>
          </w:p>
        </w:tc>
        <w:tc>
          <w:tcPr>
            <w:tcW w:type="dxa" w:w="2160"/>
          </w:tcPr>
          <w:p>
            <w:r>
              <w:rPr>
                <w:rFonts w:ascii="Calibri" w:hAnsi="Calibri"/>
                <w:sz w:val="22"/>
              </w:rPr>
              <w:t>Advanced settlements or decisions in 6 active rate cases. Minnesota electric rate case decision received; South Dakota settlement; proposed settlements in Colorado electric/gas, New Mexico electric, and Minnesota gas. Targeting long-term bill growth at or below inflation.</w:t>
            </w:r>
          </w:p>
        </w:tc>
        <w:tc>
          <w:tcPr>
            <w:tcW w:type="dxa" w:w="2160"/>
          </w:tcPr>
          <w:p>
            <w:r>
              <w:rPr>
                <w:rFonts w:ascii="Calibri" w:hAnsi="Calibri"/>
                <w:sz w:val="22"/>
              </w:rPr>
              <w:t>Indirect: XEL’s multi-state regulatory success (6 cases resolved) is a positive read-through for the regulatory environment for large multi-state utilities. DUK’s NC and SC rate cases are the analogous proceedings.</w:t>
            </w:r>
          </w:p>
        </w:tc>
        <w:tc>
          <w:tcPr>
            <w:tcW w:type="dxa" w:w="2160"/>
          </w:tcPr>
          <w:p>
            <w:r>
              <w:rPr>
                <w:rFonts w:ascii="Calibri" w:hAnsi="Calibri"/>
                <w:b/>
                <w:sz w:val="22"/>
              </w:rPr>
              <w:t>Indirect</w:t>
            </w:r>
          </w:p>
        </w:tc>
      </w:tr>
      <w:tr>
        <w:tc>
          <w:tcPr>
            <w:tcW w:type="dxa" w:w="2160"/>
          </w:tcPr>
          <w:p>
            <w:r>
              <w:rPr>
                <w:rFonts w:ascii="Calibri" w:hAnsi="Calibri"/>
                <w:sz w:val="22"/>
              </w:rPr>
              <w:t>Financing / Equity Impact</w:t>
            </w:r>
          </w:p>
        </w:tc>
        <w:tc>
          <w:tcPr>
            <w:tcW w:type="dxa" w:w="2160"/>
          </w:tcPr>
          <w:p>
            <w:r>
              <w:rPr>
                <w:rFonts w:ascii="Calibri" w:hAnsi="Calibri"/>
                <w:sz w:val="22"/>
              </w:rPr>
              <w:t>Higher interest expense reduced EPS by $0.12/share; equity financing impact of -$0.06/share. Addressed ~$6B (85%) of $7B equity need in base 5-year plan. Invested $3B in Q2 and &gt;$6B YTD in infrastructure.</w:t>
            </w:r>
          </w:p>
        </w:tc>
        <w:tc>
          <w:tcPr>
            <w:tcW w:type="dxa" w:w="2160"/>
          </w:tcPr>
          <w:p>
            <w:r>
              <w:rPr>
                <w:rFonts w:ascii="Calibri" w:hAnsi="Calibri"/>
                <w:sz w:val="22"/>
              </w:rPr>
              <w:t>Indirect: XEL’s transparent disclosure of interest expense and equity dilution headwinds is relevant for DUK, which is also funding a large capital program. The 85% equity need addressed is a positive signal for capital markets access.</w:t>
            </w:r>
          </w:p>
        </w:tc>
        <w:tc>
          <w:tcPr>
            <w:tcW w:type="dxa" w:w="2160"/>
          </w:tcPr>
          <w:p>
            <w:r>
              <w:rPr>
                <w:rFonts w:ascii="Calibri" w:hAnsi="Calibri"/>
                <w:b/>
                <w:sz w:val="22"/>
              </w:rPr>
              <w:t>Indirect</w:t>
            </w:r>
          </w:p>
        </w:tc>
      </w:tr>
      <w:tr>
        <w:tc>
          <w:tcPr>
            <w:tcW w:type="dxa" w:w="2160"/>
          </w:tcPr>
          <w:p>
            <w:r>
              <w:rPr>
                <w:rFonts w:ascii="Calibri" w:hAnsi="Calibri"/>
                <w:sz w:val="22"/>
              </w:rPr>
              <w:t>New Nuclear</w:t>
            </w:r>
          </w:p>
        </w:tc>
        <w:tc>
          <w:tcPr>
            <w:tcW w:type="dxa" w:w="2160"/>
          </w:tcPr>
          <w:p>
            <w:r>
              <w:rPr>
                <w:rFonts w:ascii="Calibri" w:hAnsi="Calibri"/>
                <w:sz w:val="22"/>
              </w:rPr>
              <w:t>XEL does not see a need for new nuclear in the near term and will “not be an early adopter of new nuclear power plants,” confident in meeting growing needs with wind, solar, storage, and gas backup.</w:t>
            </w:r>
          </w:p>
        </w:tc>
        <w:tc>
          <w:tcPr>
            <w:tcW w:type="dxa" w:w="2160"/>
          </w:tcPr>
          <w:p>
            <w:r>
              <w:rPr>
                <w:rFonts w:ascii="Calibri" w:hAnsi="Calibri"/>
                <w:sz w:val="22"/>
              </w:rPr>
              <w:t>Indirect: Contrasting view to DUK, which operates the nation’s largest regulated nuclear fleet and is exploring SMRs. XEL’s decision not to pursue new nuclear highlights the divergence in resource strategies across the sector.</w:t>
            </w:r>
          </w:p>
        </w:tc>
        <w:tc>
          <w:tcPr>
            <w:tcW w:type="dxa" w:w="2160"/>
          </w:tcPr>
          <w:p>
            <w:r>
              <w:rPr>
                <w:rFonts w:ascii="Calibri" w:hAnsi="Calibri"/>
                <w:b/>
                <w:sz w:val="22"/>
              </w:rPr>
              <w:t>Indirect</w:t>
            </w:r>
          </w:p>
        </w:tc>
      </w:tr>
    </w:tbl>
    <w:p>
      <w:pPr>
        <w:pStyle w:val="Heading2"/>
      </w:pPr>
      <w:r>
        <w:rPr>
          <w:rFonts w:ascii="Calibri" w:hAnsi="Calibri"/>
          <w:b/>
          <w:color w:val="3B4259"/>
          <w:sz w:val="28"/>
        </w:rPr>
        <w:t>8.7 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Most Important DUK Read-Through</w:t>
            </w:r>
          </w:p>
        </w:tc>
        <w:tc>
          <w:tcPr>
            <w:tcW w:type="dxa" w:w="2160"/>
            <w:shd w:val="clear" w:color="auto" w:fill="3B4259"/>
          </w:tcPr>
          <w:p>
            <w:r>
              <w:rPr>
                <w:rFonts w:ascii="Calibri" w:hAnsi="Calibri"/>
                <w:b/>
                <w:color w:val="FFFFFF"/>
                <w:sz w:val="22"/>
              </w:rPr>
              <w:t>Directional Signal</w:t>
            </w:r>
          </w:p>
        </w:tc>
        <w:tc>
          <w:tcPr>
            <w:tcW w:type="dxa" w:w="2160"/>
            <w:shd w:val="clear" w:color="auto" w:fill="3B4259"/>
          </w:tcPr>
          <w:p>
            <w:r>
              <w:rPr>
                <w:rFonts w:ascii="Calibri" w:hAnsi="Calibri"/>
                <w:b/>
                <w:color w:val="FFFFFF"/>
                <w:sz w:val="22"/>
              </w:rPr>
              <w:t>Classification</w:t>
            </w:r>
          </w:p>
        </w:tc>
      </w:tr>
      <w:tr>
        <w:tc>
          <w:tcPr>
            <w:tcW w:type="dxa" w:w="2160"/>
          </w:tcPr>
          <w:p>
            <w:r>
              <w:rPr>
                <w:rFonts w:ascii="Calibri" w:hAnsi="Calibri"/>
                <w:sz w:val="22"/>
              </w:rPr>
              <w:t>SO</w:t>
            </w:r>
          </w:p>
        </w:tc>
        <w:tc>
          <w:tcPr>
            <w:tcW w:type="dxa" w:w="2160"/>
          </w:tcPr>
          <w:p>
            <w:r>
              <w:rPr>
                <w:rFonts w:ascii="Calibri" w:hAnsi="Calibri"/>
                <w:sz w:val="22"/>
              </w:rPr>
              <w:t>6 GW of Q2 ESA signings (vs. DUK’s 2.7 GW in Q1); data-center usage +55% YoY; Southeast load growth at 2-decade high</w:t>
            </w:r>
          </w:p>
        </w:tc>
        <w:tc>
          <w:tcPr>
            <w:tcW w:type="dxa" w:w="2160"/>
          </w:tcPr>
          <w:p>
            <w:r>
              <w:rPr>
                <w:rFonts w:ascii="Calibri" w:hAnsi="Calibri"/>
                <w:b/>
                <w:color w:val="30A46C"/>
                <w:sz w:val="22"/>
              </w:rPr>
              <w:t>Positive ↑</w:t>
            </w:r>
          </w:p>
        </w:tc>
        <w:tc>
          <w:tcPr>
            <w:tcW w:type="dxa" w:w="2160"/>
          </w:tcPr>
          <w:p>
            <w:r>
              <w:rPr>
                <w:rFonts w:ascii="Calibri" w:hAnsi="Calibri"/>
                <w:sz w:val="22"/>
              </w:rPr>
              <w:t>Direct</w:t>
            </w:r>
          </w:p>
        </w:tc>
      </w:tr>
      <w:tr>
        <w:tc>
          <w:tcPr>
            <w:tcW w:type="dxa" w:w="2160"/>
          </w:tcPr>
          <w:p>
            <w:r>
              <w:rPr>
                <w:rFonts w:ascii="Calibri" w:hAnsi="Calibri"/>
                <w:sz w:val="22"/>
              </w:rPr>
              <w:t>D</w:t>
            </w:r>
          </w:p>
        </w:tc>
        <w:tc>
          <w:tcPr>
            <w:tcW w:type="dxa" w:w="2160"/>
          </w:tcPr>
          <w:p>
            <w:r>
              <w:rPr>
                <w:rFonts w:ascii="Calibri" w:hAnsi="Calibri"/>
                <w:sz w:val="22"/>
              </w:rPr>
              <w:t>+16% EPS beat; record peak demand days in Dom zone (overlaps NC/SC); 100% rider approval; SC rate case settled</w:t>
            </w:r>
          </w:p>
        </w:tc>
        <w:tc>
          <w:tcPr>
            <w:tcW w:type="dxa" w:w="2160"/>
          </w:tcPr>
          <w:p>
            <w:r>
              <w:rPr>
                <w:rFonts w:ascii="Calibri" w:hAnsi="Calibri"/>
                <w:b/>
                <w:color w:val="30A46C"/>
                <w:sz w:val="22"/>
              </w:rPr>
              <w:t>Positive ↑</w:t>
            </w:r>
          </w:p>
        </w:tc>
        <w:tc>
          <w:tcPr>
            <w:tcW w:type="dxa" w:w="2160"/>
          </w:tcPr>
          <w:p>
            <w:r>
              <w:rPr>
                <w:rFonts w:ascii="Calibri" w:hAnsi="Calibri"/>
                <w:sz w:val="22"/>
              </w:rPr>
              <w:t>Direct</w:t>
            </w:r>
          </w:p>
        </w:tc>
      </w:tr>
      <w:tr>
        <w:tc>
          <w:tcPr>
            <w:tcW w:type="dxa" w:w="2160"/>
          </w:tcPr>
          <w:p>
            <w:r>
              <w:rPr>
                <w:rFonts w:ascii="Calibri" w:hAnsi="Calibri"/>
                <w:sz w:val="22"/>
              </w:rPr>
              <w:t>NEE</w:t>
            </w:r>
          </w:p>
        </w:tc>
        <w:tc>
          <w:tcPr>
            <w:tcW w:type="dxa" w:w="2160"/>
          </w:tcPr>
          <w:p>
            <w:r>
              <w:rPr>
                <w:rFonts w:ascii="Calibri" w:hAnsi="Calibri"/>
                <w:sz w:val="22"/>
              </w:rPr>
              <w:t>FPL large-load target raised to 8 GW; Florida large-load tariff codified into law; 90,000+ new customers in Q2</w:t>
            </w:r>
          </w:p>
        </w:tc>
        <w:tc>
          <w:tcPr>
            <w:tcW w:type="dxa" w:w="2160"/>
          </w:tcPr>
          <w:p>
            <w:r>
              <w:rPr>
                <w:rFonts w:ascii="Calibri" w:hAnsi="Calibri"/>
                <w:b/>
                <w:color w:val="30A46C"/>
                <w:sz w:val="22"/>
              </w:rPr>
              <w:t>Positive ↑</w:t>
            </w:r>
          </w:p>
        </w:tc>
        <w:tc>
          <w:tcPr>
            <w:tcW w:type="dxa" w:w="2160"/>
          </w:tcPr>
          <w:p>
            <w:r>
              <w:rPr>
                <w:rFonts w:ascii="Calibri" w:hAnsi="Calibri"/>
                <w:sz w:val="22"/>
              </w:rPr>
              <w:t>Direct (Florida)</w:t>
            </w:r>
          </w:p>
        </w:tc>
      </w:tr>
      <w:tr>
        <w:tc>
          <w:tcPr>
            <w:tcW w:type="dxa" w:w="2160"/>
          </w:tcPr>
          <w:p>
            <w:r>
              <w:rPr>
                <w:rFonts w:ascii="Calibri" w:hAnsi="Calibri"/>
                <w:sz w:val="22"/>
              </w:rPr>
              <w:t>AEP</w:t>
            </w:r>
          </w:p>
        </w:tc>
        <w:tc>
          <w:tcPr>
            <w:tcW w:type="dxa" w:w="2160"/>
          </w:tcPr>
          <w:p>
            <w:r>
              <w:rPr>
                <w:rFonts w:ascii="Calibri" w:hAnsi="Calibri"/>
                <w:sz w:val="22"/>
              </w:rPr>
              <w:t>69 GW contracted load; 9.84% ROE in Ohio (benchmark for DUK’s 9.8% NC settlement); $16B residential cost offsets from large load</w:t>
            </w:r>
          </w:p>
        </w:tc>
        <w:tc>
          <w:tcPr>
            <w:tcW w:type="dxa" w:w="2160"/>
          </w:tcPr>
          <w:p>
            <w:r>
              <w:rPr>
                <w:rFonts w:ascii="Calibri" w:hAnsi="Calibri"/>
                <w:b/>
                <w:color w:val="30A46C"/>
                <w:sz w:val="22"/>
              </w:rPr>
              <w:t>Positive ↑</w:t>
            </w:r>
          </w:p>
        </w:tc>
        <w:tc>
          <w:tcPr>
            <w:tcW w:type="dxa" w:w="2160"/>
          </w:tcPr>
          <w:p>
            <w:r>
              <w:rPr>
                <w:rFonts w:ascii="Calibri" w:hAnsi="Calibri"/>
                <w:sz w:val="22"/>
              </w:rPr>
              <w:t>Direct (Indiana/Ohio)</w:t>
            </w:r>
          </w:p>
        </w:tc>
      </w:tr>
      <w:tr>
        <w:tc>
          <w:tcPr>
            <w:tcW w:type="dxa" w:w="2160"/>
          </w:tcPr>
          <w:p>
            <w:r>
              <w:rPr>
                <w:rFonts w:ascii="Calibri" w:hAnsi="Calibri"/>
                <w:sz w:val="22"/>
              </w:rPr>
              <w:t>ETR</w:t>
            </w:r>
          </w:p>
        </w:tc>
        <w:tc>
          <w:tcPr>
            <w:tcW w:type="dxa" w:w="2160"/>
          </w:tcPr>
          <w:p>
            <w:r>
              <w:rPr>
                <w:rFonts w:ascii="Calibri" w:hAnsi="Calibri"/>
                <w:sz w:val="22"/>
              </w:rPr>
              <w:t>Near-normal weather in Q2 (vs. warmer Q2 2025) weighed on results; rising O&amp;M trend; “Fair Share Plus” model for large-load tariffs</w:t>
            </w:r>
          </w:p>
        </w:tc>
        <w:tc>
          <w:tcPr>
            <w:tcW w:type="dxa" w:w="2160"/>
          </w:tcPr>
          <w:p>
            <w:r>
              <w:rPr>
                <w:rFonts w:ascii="Calibri" w:hAnsi="Calibri"/>
                <w:b/>
                <w:sz w:val="22"/>
              </w:rPr>
              <w:t>Mixed ↔</w:t>
            </w:r>
          </w:p>
        </w:tc>
        <w:tc>
          <w:tcPr>
            <w:tcW w:type="dxa" w:w="2160"/>
          </w:tcPr>
          <w:p>
            <w:r>
              <w:rPr>
                <w:rFonts w:ascii="Calibri" w:hAnsi="Calibri"/>
                <w:sz w:val="22"/>
              </w:rPr>
              <w:t>Indirect</w:t>
            </w:r>
          </w:p>
        </w:tc>
      </w:tr>
      <w:tr>
        <w:tc>
          <w:tcPr>
            <w:tcW w:type="dxa" w:w="2160"/>
          </w:tcPr>
          <w:p>
            <w:r>
              <w:rPr>
                <w:rFonts w:ascii="Calibri" w:hAnsi="Calibri"/>
                <w:sz w:val="22"/>
              </w:rPr>
              <w:t>XEL</w:t>
            </w:r>
          </w:p>
        </w:tc>
        <w:tc>
          <w:tcPr>
            <w:tcW w:type="dxa" w:w="2160"/>
          </w:tcPr>
          <w:p>
            <w:r>
              <w:rPr>
                <w:rFonts w:ascii="Calibri" w:hAnsi="Calibri"/>
                <w:sz w:val="22"/>
              </w:rPr>
              <w:t>$5–6B/GW generation investment benchmark; 6 rate cases resolved; interest expense and equity dilution headwinds disclosed</w:t>
            </w:r>
          </w:p>
        </w:tc>
        <w:tc>
          <w:tcPr>
            <w:tcW w:type="dxa" w:w="2160"/>
          </w:tcPr>
          <w:p>
            <w:r>
              <w:rPr>
                <w:rFonts w:ascii="Calibri" w:hAnsi="Calibri"/>
                <w:b/>
                <w:sz w:val="22"/>
              </w:rPr>
              <w:t>Neutral ↔</w:t>
            </w:r>
          </w:p>
        </w:tc>
        <w:tc>
          <w:tcPr>
            <w:tcW w:type="dxa" w:w="2160"/>
          </w:tcPr>
          <w:p>
            <w:r>
              <w:rPr>
                <w:rFonts w:ascii="Calibri" w:hAnsi="Calibri"/>
                <w:sz w:val="22"/>
              </w:rPr>
              <w:t>Indirect</w:t>
            </w:r>
          </w:p>
        </w:tc>
      </w:tr>
    </w:tbl>
    <w:p>
      <w:r>
        <w:rPr>
          <w:rFonts w:ascii="Calibri" w:hAnsi="Calibri"/>
          <w:b/>
          <w:color w:val="525866"/>
          <w:sz w:val="22"/>
        </w:rPr>
        <w:t xml:space="preserve">Overall Peer Read-Through Assessment: </w:t>
      </w:r>
      <w:r>
        <w:rPr>
          <w:rFonts w:ascii="Calibri" w:hAnsi="Calibri"/>
          <w:color w:val="525866"/>
          <w:sz w:val="22"/>
        </w:rPr>
        <w:t>The Q2 2026 peer reporting season is a strong positive read-through for Duke Energy. The four most directly relevant peers (SO, D, NEE, AEP) all reported beats or raised guidance, with Southeast load growth at multi-decade highs and data-center demand accelerating. The key question for DUK’s Q2 call is whether management can match or exceed the ESA signing pace set by peers — particularly SO’s 6 GW in a single quarter — and whether the NC rate case commentary is constructive enough to re-rate the stock toward its historical premium. The one cautionary note from peers (ETR) is that near-normal weather in Q2 2026 vs. warmer Q2 2025 could be a modest headwind to revenue, partially offsetting the load-growth tailwind.</w:t>
      </w:r>
    </w:p>
    <w:p>
      <w:r>
        <w:rPr>
          <w:rFonts w:ascii="Calibri" w:hAnsi="Calibri"/>
          <w:b/>
          <w:color w:val="525866"/>
          <w:sz w:val="22"/>
        </w:rPr>
        <w:t xml:space="preserve">Sources: </w:t>
      </w:r>
      <w:r>
        <w:rPr>
          <w:rFonts w:ascii="Calibri" w:hAnsi="Calibri"/>
          <w:color w:val="525866"/>
          <w:sz w:val="22"/>
        </w:rPr>
        <w:t>SO Q2 2026 Earnings Call transcript (July 30, 2026); AEP Q2 2026 Earnings Call transcript (July 30, 2026); D Q2 2026 Earnings Call transcript (July 31, 2026); ETR Q2 2026 Earnings Call transcript (July 29, 2026); NEE Q2 2026 Earnings Call transcript (July 24, 2026); XEL Q2 2026 Earnings Call transcript (July 30, 2026); News Digest (Dominion Q2 beat, AEP guidance raise, July 30–31,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