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va-earnings-predictions--2026-08-04"/>
    <w:p>
      <w:pPr>
        <w:pStyle w:val="Heading1"/>
      </w:pPr>
      <w:r>
        <w:t xml:space="preserve">DVA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4.05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US dialysis treatments/day growth (volume)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~+55 bps vs. cons ~+40 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per treatment / 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3.53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3.50B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14.60</m:t>
              </m:r>
              <m:r>
                <m:rPr>
                  <m:sty m:val="p"/>
                </m:rPr>
                <m:t>−</m:t>
              </m:r>
              <m:r>
                <m:t>15.50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15.05) vs. cons ~$14.65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Income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2.20</m:t>
              </m:r>
              <m:r>
                <m:rPr>
                  <m:sty m:val="p"/>
                </m:rPr>
                <m:t>−</m:t>
              </m:r>
              <m:r>
                <m:t>2.30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2.25B) vs. cons ~$2.20B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ACA enhanced-PTC headwind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40</m:t>
              </m:r>
              <m:r>
                <m:t>M</m:t>
              </m:r>
              <m:r>
                <m:t>h</m:t>
              </m:r>
              <m:r>
                <m:t>e</m:t>
              </m:r>
              <m:r>
                <m:t>l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t>r</m:t>
              </m:r>
              <m:r>
                <m:t>e</m:t>
              </m:r>
              <m:r>
                <m:t>n</m:t>
              </m:r>
              <m:r>
                <m:t>d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t>l</m:t>
              </m:r>
              <m:r>
                <m:t>i</m:t>
              </m:r>
              <m:r>
                <m:t>g</m:t>
              </m:r>
              <m:r>
                <m:t>h</m:t>
              </m:r>
              <m:r>
                <m:t>t</m:t>
              </m:r>
              <m:r>
                <m:t>l</m:t>
              </m:r>
              <m:r>
                <m:t>y</m:t>
              </m:r>
              <m:r>
                <m:t>f</m:t>
              </m:r>
              <m:r>
                <m:t>a</m:t>
              </m:r>
              <m:r>
                <m:t>v</m:t>
              </m:r>
              <m:r>
                <m:t>o</m:t>
              </m:r>
              <m:r>
                <m:t>r</m:t>
              </m:r>
              <m:r>
                <m:t>a</m:t>
              </m:r>
              <m:r>
                <m:t>b</m:t>
              </m:r>
              <m:r>
                <m:t>l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40M cons (FY26; $70M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</m:t>
              </m:r>
              <m:r>
                <m:rPr>
                  <m:sty m:val="p"/>
                </m:rPr>
                <m:t>−</m:t>
              </m:r>
              <m:r>
                <m:t>1.25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1.15B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(FADE)</w:t>
            </w:r>
          </w:p>
        </w:tc>
        <w:tc>
          <w:tcPr/>
          <w:p>
            <w:pPr>
              <w:pStyle w:val="Compact"/>
            </w:pPr>
            <w:r>
              <w:t xml:space="preserve">Stock has ~doubled YTD and trades above the ~</w:t>
            </w:r>
            <m:oMath>
              <m:r>
                <m:t>199</m:t>
              </m:r>
              <m:r>
                <m:rPr>
                  <m:sty m:val="p"/>
                </m:rPr>
                <m:t>−</m:t>
              </m:r>
              <m:r>
                <m:t>217</m:t>
              </m:r>
              <m:r>
                <m:t>t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t</m:t>
              </m:r>
              <m:r>
                <m:t>c</m:t>
              </m:r>
              <m:r>
                <m:t>l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r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a</m:t>
              </m:r>
              <m:r>
                <m:t>H</m:t>
              </m:r>
              <m:r>
                <m:t>o</m:t>
              </m:r>
              <m:r>
                <m:t>l</m:t>
              </m:r>
              <m:r>
                <m:t>d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o</m:t>
              </m:r>
              <m:r>
                <m:t>a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a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i</m:t>
              </m:r>
              <m:r>
                <m:t>s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t>y</m:t>
              </m:r>
              <m:r>
                <m:t>p</m:t>
              </m:r>
              <m:r>
                <m:t>r</m:t>
              </m:r>
              <m:r>
                <m:t>i</m:t>
              </m:r>
              <m:r>
                <m:t>c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;</m:t>
              </m:r>
              <m:r>
                <m:t>t</m:t>
              </m:r>
              <m:r>
                <m:t>h</m:t>
              </m:r>
              <m:r>
                <m:t>e</m:t>
              </m:r>
              <m:r>
                <m:t>d</m:t>
              </m:r>
              <m:r>
                <m:t>a</m:t>
              </m:r>
              <m:r>
                <m:t>y</m:t>
              </m:r>
              <m:r>
                <m:rPr>
                  <m:sty m:val="p"/>
                </m:rPr>
                <m:t>−</m:t>
              </m:r>
              <m:r>
                <m:t>b</m:t>
              </m:r>
              <m:r>
                <m:t>e</m:t>
              </m:r>
              <m:r>
                <m:t>f</m:t>
              </m:r>
              <m:r>
                <m:t>o</m:t>
              </m:r>
              <m:r>
                <m:t>r</m:t>
              </m:r>
              <m:r>
                <m:t>e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D</m:t>
              </m:r>
              <m:r>
                <m:t>V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2.7</m:t>
              </m:r>
            </m:oMath>
            <w:r>
              <w:t xml:space="preserve">6 timing, commercial mix erosion is expected to build in H2, G&amp;A/tech spend rising, and the 2027 ACA cliff ($70M) caps upward revisions. Modest raises don't justify the run, so gains fade as estimates settle below the price.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2026-08-04T01:46:57Z</dcterms:created>
  <dcterms:modified xsi:type="dcterms:W3CDTF">2026-08-04T01:46:57Z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