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3.56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Dialysis Treatments-per-Normalized-Day Growth y/y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~+65bps vs. cons ~+40bps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14.50</m:t>
              </m:r>
              <m:r>
                <m:rPr>
                  <m:sty m:val="p"/>
                </m:rPr>
                <m:t>−</m:t>
              </m:r>
            </m:oMath>
            <w:r>
              <w:t xml:space="preserve">15.60 (midpoint ~</w:t>
            </w:r>
            <m:oMath>
              <m:r>
                <m:t>15.05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15.07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2.32B (midpoint ~</w:t>
            </w:r>
            <m:oMath>
              <m:r>
                <m:t>2.26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Dialysis Volume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~+50 to +75bps vs. cons/prior guide ~+25 to +50bps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ACA/OBBBA Marketplace Revenue Headwind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</m:t>
              </m:r>
              <m:r>
                <m:rPr>
                  <m:sty m:val="p"/>
                </m:rPr>
                <m:t>−</m:t>
              </m:r>
              <m:r>
                <m:t>40</m:t>
              </m:r>
              <m:r>
                <m:t>M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40M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likely EPS/revenue beat and modest guidance raise are already substantially priced in after the stock's 100%+ YTD run and a rally to levels above average sell-side targets (note the pre-print pullback from ~</w:t>
            </w:r>
            <m:oMath>
              <m:r>
                <m:t>240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234). The full-year raise implied by a Q2 beat is arithmetically modest (H2 comps get tougher, RPT tailwinds normalize, ACA/OBBBA mix drag persists), so out-period estimate revisions likely lag the magnitude of the quarter's beat, prompting profit-taking and a fade of any initial pop over the following days, consistent with Berkshire/insider selling overhang and stretched leverage/valuation.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2026-08-04T01:51:33Z</dcterms:created>
  <dcterms:modified xsi:type="dcterms:W3CDTF">2026-08-04T01:51:33Z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