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35758e78c2a72bf03675f2e8fbb141bc3f15b85"/>
    <w:p>
      <w:pPr>
        <w:pStyle w:val="Heading1"/>
      </w:pPr>
      <w:r>
        <w:t xml:space="preserve">DaVita (NYSE: DVA) — 2026 Q2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DaVita is scheduled to release results</w:t>
      </w:r>
      <w:r>
        <w:t xml:space="preserve"> </w:t>
      </w:r>
      <w:r>
        <w:rPr>
          <w:b/>
          <w:bCs/>
        </w:rPr>
        <w:t xml:space="preserve">after the market closes today, Tuesday, August 4, 2026</w:t>
      </w:r>
      <w:r>
        <w:t xml:space="preserve">, followed by its conference call at</w:t>
      </w:r>
      <w:r>
        <w:t xml:space="preserve"> </w:t>
      </w:r>
      <w:r>
        <w:rPr>
          <w:b/>
          <w:bCs/>
        </w:rPr>
        <w:t xml:space="preserve">5:00 p.m. ET</w:t>
      </w:r>
      <w:r>
        <w:t xml:space="preserve">—not tomorrow. (</w:t>
      </w:r>
      <w:hyperlink r:id="rId9">
        <w:r>
          <w:rPr>
            <w:rStyle w:val="Hyperlink"/>
          </w:rPr>
          <w:t xml:space="preserve">newsroom.davita.com</w:t>
        </w:r>
      </w:hyperlink>
      <w:r>
        <w:t xml:space="preserve">)</w:t>
      </w:r>
    </w:p>
    <w:bookmarkStart w:id="10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DaVita enters the quarter with strong operating momentum—and a substantially higher valuation. The central question is no longer whether the business is improving, but whether treatment growth, labor productivity and share repurchases can support another guidance increase.</w:t>
      </w:r>
    </w:p>
    <w:p>
      <w:pPr>
        <w:pStyle w:val="BodyText"/>
      </w:pPr>
      <w:r>
        <w:t xml:space="preserve">The most important indicators will be: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dialysis treatment growth continues to accelerate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labor efficiencies prove durable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quickly commercial-payor and ACA-plan pressure emerges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management raises full-year operating-income or EPS guidance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much additional stock DaVita repurchased without pushing leverage above its target range</w:t>
      </w:r>
    </w:p>
    <w:p>
      <w:pPr>
        <w:pStyle w:val="FirstParagraph"/>
      </w:pPr>
      <w:r>
        <w:t xml:space="preserve">A modest EPS beat may not be enough after the stock’s sharp post-Q1 appreciation. Investors will probably focus more on full-year guidance and the quality of the operating performance than on the headline quarterly result.</w:t>
      </w:r>
    </w:p>
    <w:bookmarkEnd w:id="10"/>
    <w:bookmarkStart w:id="12" w:name="expectations-and-prior-year-comparison"/>
    <w:p>
      <w:pPr>
        <w:pStyle w:val="Heading2"/>
      </w:pPr>
      <w:r>
        <w:t xml:space="preserve">Expectations and prior-year comparison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$3.50 billion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$3.38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$2.95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Implied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Revenue:</w:t>
            </w:r>
            <w:r>
              <w:t xml:space="preserve"> </w:t>
            </w:r>
            <w:r>
              <w:rPr>
                <w:b/>
                <w:bCs/>
              </w:rPr>
              <w:t xml:space="preserve">~4%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Adjusted EPS:</w:t>
            </w:r>
            <w:r>
              <w:t xml:space="preserve"> </w:t>
            </w:r>
            <w:r>
              <w:rPr>
                <w:b/>
                <w:bCs/>
              </w:rPr>
              <w:t xml:space="preserve">~32%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Current published consensus is approximately</w:t>
      </w:r>
      <w:r>
        <w:t xml:space="preserve"> </w:t>
      </w:r>
      <w:r>
        <w:rPr>
          <w:b/>
          <w:bCs/>
        </w:rPr>
        <w:t xml:space="preserve">$3.88 of adjusted EPS on $3.50 billion of revenue</w:t>
      </w:r>
      <w:r>
        <w:t xml:space="preserve">. (</w:t>
      </w:r>
      <w:hyperlink r:id="rId11">
        <w:r>
          <w:rPr>
            <w:rStyle w:val="Hyperlink"/>
          </w:rPr>
          <w:t xml:space="preserve">tipranks.com</w:t>
        </w:r>
      </w:hyperlink>
      <w:r>
        <w:t xml:space="preserve">)</w:t>
      </w:r>
    </w:p>
    <w:p>
      <w:pPr>
        <w:pStyle w:val="BodyText"/>
      </w:pPr>
      <w:r>
        <w:t xml:space="preserve">The large expected EPS increase is likely to come from a combination of operating-income growth and a sharply lower share count—not comparable revenue growth alone.</w:t>
      </w:r>
    </w:p>
    <w:bookmarkEnd w:id="12"/>
    <w:bookmarkStart w:id="14" w:name="what-q1-established"/>
    <w:p>
      <w:pPr>
        <w:pStyle w:val="Heading2"/>
      </w:pPr>
      <w:r>
        <w:t xml:space="preserve">What Q1 established</w:t>
      </w:r>
    </w:p>
    <w:p>
      <w:pPr>
        <w:pStyle w:val="FirstParagraph"/>
      </w:pPr>
      <w:r>
        <w:t xml:space="preserve">DaVita’s first quarter was better than management had anticipated:</w:t>
      </w:r>
    </w:p>
    <w:p>
      <w:pPr>
        <w:pStyle w:val="Compact"/>
        <w:numPr>
          <w:ilvl w:val="0"/>
          <w:numId w:val="1002"/>
        </w:numPr>
      </w:pPr>
      <w:r>
        <w:t xml:space="preserve">Revenue was</w:t>
      </w:r>
      <w:r>
        <w:t xml:space="preserve"> </w:t>
      </w:r>
      <w:r>
        <w:rPr>
          <w:b/>
          <w:bCs/>
        </w:rPr>
        <w:t xml:space="preserve">$3.416 billion</w:t>
      </w:r>
      <w:r>
        <w:t xml:space="preserve">, up 6% year over year.</w:t>
      </w:r>
    </w:p>
    <w:p>
      <w:pPr>
        <w:pStyle w:val="Compact"/>
        <w:numPr>
          <w:ilvl w:val="0"/>
          <w:numId w:val="1002"/>
        </w:numPr>
      </w:pPr>
      <w:r>
        <w:t xml:space="preserve">Adjusted operating income was</w:t>
      </w:r>
      <w:r>
        <w:t xml:space="preserve"> </w:t>
      </w:r>
      <w:r>
        <w:rPr>
          <w:b/>
          <w:bCs/>
        </w:rPr>
        <w:t xml:space="preserve">$482 million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Adjusted diluted EPS was</w:t>
      </w:r>
      <w:r>
        <w:t xml:space="preserve"> </w:t>
      </w:r>
      <w:r>
        <w:rPr>
          <w:b/>
          <w:bCs/>
        </w:rPr>
        <w:t xml:space="preserve">$2.87</w:t>
      </w:r>
      <w:r>
        <w:t xml:space="preserve">, versus $2.00 a year earlier.</w:t>
      </w:r>
    </w:p>
    <w:p>
      <w:pPr>
        <w:pStyle w:val="Compact"/>
        <w:numPr>
          <w:ilvl w:val="0"/>
          <w:numId w:val="1002"/>
        </w:numPr>
      </w:pPr>
      <w:r>
        <w:t xml:space="preserve">U.S. normalized non-acquired treatment growth was</w:t>
      </w:r>
      <w:r>
        <w:t xml:space="preserve"> </w:t>
      </w:r>
      <w:r>
        <w:rPr>
          <w:b/>
          <w:bCs/>
        </w:rPr>
        <w:t xml:space="preserve">0.1%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Revenue per treatment was</w:t>
      </w:r>
      <w:r>
        <w:t xml:space="preserve"> </w:t>
      </w:r>
      <w:r>
        <w:rPr>
          <w:b/>
          <w:bCs/>
        </w:rPr>
        <w:t xml:space="preserve">$417.59</w:t>
      </w:r>
      <w:r>
        <w:t xml:space="preserve">, up 4.4% year over year.</w:t>
      </w:r>
    </w:p>
    <w:p>
      <w:pPr>
        <w:pStyle w:val="Compact"/>
        <w:numPr>
          <w:ilvl w:val="0"/>
          <w:numId w:val="1002"/>
        </w:numPr>
      </w:pPr>
      <w:r>
        <w:t xml:space="preserve">Patient-care cost per treatment was</w:t>
      </w:r>
      <w:r>
        <w:t xml:space="preserve"> </w:t>
      </w:r>
      <w:r>
        <w:rPr>
          <w:b/>
          <w:bCs/>
        </w:rPr>
        <w:t xml:space="preserve">$280.11</w:t>
      </w:r>
      <w:r>
        <w:t xml:space="preserve">, up 3.1%.</w:t>
      </w:r>
    </w:p>
    <w:p>
      <w:pPr>
        <w:pStyle w:val="Compact"/>
        <w:numPr>
          <w:ilvl w:val="0"/>
          <w:numId w:val="1002"/>
        </w:numPr>
      </w:pPr>
      <w:r>
        <w:t xml:space="preserve">Free cash flow was</w:t>
      </w:r>
      <w:r>
        <w:t xml:space="preserve"> </w:t>
      </w:r>
      <w:r>
        <w:rPr>
          <w:b/>
          <w:bCs/>
        </w:rPr>
        <w:t xml:space="preserve">$140 million</w:t>
      </w:r>
      <w:r>
        <w:t xml:space="preserve">.</w:t>
      </w:r>
    </w:p>
    <w:p>
      <w:pPr>
        <w:pStyle w:val="FirstParagraph"/>
      </w:pPr>
      <w:r>
        <w:t xml:space="preserve">Management raised 2026 guidance to: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Adjusted operating income:</w:t>
      </w:r>
      <w:r>
        <w:t xml:space="preserve"> </w:t>
      </w:r>
      <m:oMath>
        <m:r>
          <m:t>2.15</m:t>
        </m:r>
        <m:r>
          <m:rPr>
            <m:sty m:val="p"/>
          </m:rPr>
          <m:t>−</m:t>
        </m:r>
      </m:oMath>
      <w:r>
        <w:t xml:space="preserve">2.25 billion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Adjusted diluted EPS:</w:t>
      </w:r>
      <w:r>
        <w:t xml:space="preserve"> </w:t>
      </w:r>
      <m:oMath>
        <m:r>
          <m:t>14.10</m:t>
        </m:r>
        <m:r>
          <m:rPr>
            <m:sty m:val="p"/>
          </m:rPr>
          <m:t>−</m:t>
        </m:r>
      </m:oMath>
      <w:r>
        <w:t xml:space="preserve">15.20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Free cash flow:</w:t>
      </w:r>
      <w:r>
        <w:t xml:space="preserve"> </w:t>
      </w:r>
      <m:oMath>
        <m:r>
          <m:t>1.00</m:t>
        </m:r>
        <m:r>
          <m:rPr>
            <m:sty m:val="p"/>
          </m:rPr>
          <m:t>−</m:t>
        </m:r>
      </m:oMath>
      <w:r>
        <w:t xml:space="preserve">1.25 billion</w:t>
      </w:r>
    </w:p>
    <w:p>
      <w:pPr>
        <w:pStyle w:val="FirstParagraph"/>
      </w:pPr>
      <w:r>
        <w:t xml:space="preserve">It also raised expected full-year treatment growth to</w:t>
      </w:r>
      <w:r>
        <w:t xml:space="preserve"> </w:t>
      </w:r>
      <w:r>
        <w:rPr>
          <w:b/>
          <w:bCs/>
        </w:rPr>
        <w:t xml:space="preserve">25-50 basis points</w:t>
      </w:r>
      <w:r>
        <w:t xml:space="preserve">, citing better underlying census performance and patient transfers associated with competitor clinic closures. (</w:t>
      </w:r>
      <w:hyperlink r:id="rId13">
        <w:r>
          <w:rPr>
            <w:rStyle w:val="Hyperlink"/>
          </w:rPr>
          <w:t xml:space="preserve">investors.davita.com</w:t>
        </w:r>
      </w:hyperlink>
      <w:r>
        <w:t xml:space="preserve">)</w:t>
      </w:r>
    </w:p>
    <w:bookmarkEnd w:id="14"/>
    <w:bookmarkStart w:id="21" w:name="X45c22c0a3b9274a3cc06857c639deae0f581b4f"/>
    <w:p>
      <w:pPr>
        <w:pStyle w:val="Heading2"/>
      </w:pPr>
      <w:r>
        <w:t xml:space="preserve">The five issues that should determine the reaction</w:t>
      </w:r>
    </w:p>
    <w:bookmarkStart w:id="15" w:name="Xd1dd677d7f10c6de10f6e562905598898a8b4e7"/>
    <w:p>
      <w:pPr>
        <w:pStyle w:val="Heading3"/>
      </w:pPr>
      <w:r>
        <w:t xml:space="preserve">1. Treatment growth must show a genuine inflection</w:t>
      </w:r>
    </w:p>
    <w:p>
      <w:pPr>
        <w:pStyle w:val="FirstParagraph"/>
      </w:pPr>
      <w:r>
        <w:t xml:space="preserve">Volume is the cleanest fundamental marker this quarter.</w:t>
      </w:r>
    </w:p>
    <w:p>
      <w:pPr>
        <w:pStyle w:val="BodyText"/>
      </w:pPr>
      <w:r>
        <w:t xml:space="preserve">In Q1, average treatments per normalized day rose 0.4% year over year, while normalized non-acquired growth was only 0.1%. Management nevertheless expected growth to improve through the year because:</w:t>
      </w:r>
    </w:p>
    <w:p>
      <w:pPr>
        <w:pStyle w:val="Compact"/>
        <w:numPr>
          <w:ilvl w:val="0"/>
          <w:numId w:val="1004"/>
        </w:numPr>
      </w:pPr>
      <w:r>
        <w:t xml:space="preserve">Mortality was better than forecast.</w:t>
      </w:r>
    </w:p>
    <w:p>
      <w:pPr>
        <w:pStyle w:val="Compact"/>
        <w:numPr>
          <w:ilvl w:val="0"/>
          <w:numId w:val="1004"/>
        </w:numPr>
      </w:pPr>
      <w:r>
        <w:t xml:space="preserve">Competitor clinic closures were producing patient transfers.</w:t>
      </w:r>
    </w:p>
    <w:p>
      <w:pPr>
        <w:pStyle w:val="Compact"/>
        <w:numPr>
          <w:ilvl w:val="0"/>
          <w:numId w:val="1004"/>
        </w:numPr>
      </w:pPr>
      <w:r>
        <w:t xml:space="preserve">Roughly half of the anticipated transfer benefit was expected to arrive during Q2.</w:t>
      </w:r>
    </w:p>
    <w:p>
      <w:pPr>
        <w:pStyle w:val="Compact"/>
        <w:numPr>
          <w:ilvl w:val="0"/>
          <w:numId w:val="1004"/>
        </w:numPr>
      </w:pPr>
      <w:r>
        <w:t xml:space="preserve">Full-year treatments per normalized day were expected to rise approximately 50-75 basis points.</w:t>
      </w:r>
    </w:p>
    <w:p>
      <w:pPr>
        <w:pStyle w:val="FirstParagraph"/>
      </w:pPr>
      <w:r>
        <w:t xml:space="preserve">The market will want to see normalized treatment growth move clearly above Q1’s 0.1%, along with confirmation that the transfer gains are durable rather than merely shifting quarterly timing.</w:t>
      </w:r>
    </w:p>
    <w:p>
      <w:pPr>
        <w:pStyle w:val="BodyText"/>
      </w:pPr>
      <w:r>
        <w:rPr>
          <w:b/>
          <w:bCs/>
        </w:rPr>
        <w:t xml:space="preserve">Bullish:</w:t>
      </w:r>
      <w:r>
        <w:t xml:space="preserve"> </w:t>
      </w:r>
      <w:r>
        <w:t xml:space="preserve">Treatment growth accelerates toward or above the upper half of the annual range, with stable admissions and mortality.</w:t>
      </w:r>
    </w:p>
    <w:p>
      <w:pPr>
        <w:pStyle w:val="BodyText"/>
      </w:pPr>
      <w:r>
        <w:rPr>
          <w:b/>
          <w:bCs/>
        </w:rPr>
        <w:t xml:space="preserve">Bearish:</w:t>
      </w:r>
      <w:r>
        <w:t xml:space="preserve"> </w:t>
      </w:r>
      <w:r>
        <w:t xml:space="preserve">Transfers underperform, new dialysis starts remain weak or management retreats from its 25-50 basis-point treatment-growth outlook.</w:t>
      </w:r>
    </w:p>
    <w:bookmarkEnd w:id="15"/>
    <w:bookmarkStart w:id="16" w:name="Xedd0eb1b49b2630878064a60a00bd9812d6b3d2"/>
    <w:p>
      <w:pPr>
        <w:pStyle w:val="Heading3"/>
      </w:pPr>
      <w:r>
        <w:t xml:space="preserve">2. Revenue per treatment will be scrutinized for payor-mix pressure</w:t>
      </w:r>
    </w:p>
    <w:p>
      <w:pPr>
        <w:pStyle w:val="FirstParagraph"/>
      </w:pPr>
      <w:r>
        <w:t xml:space="preserve">Q1 revenue per treatment was unusually strong at</w:t>
      </w:r>
      <w:r>
        <w:t xml:space="preserve"> </w:t>
      </w:r>
      <w:r>
        <w:rPr>
          <w:b/>
          <w:bCs/>
        </w:rPr>
        <w:t xml:space="preserve">$417.59</w:t>
      </w:r>
      <w:r>
        <w:t xml:space="preserve">, but management attributed roughly $6 of the year-over-year increase to timing and retained its full-year RPT growth forecast of only</w:t>
      </w:r>
      <w:r>
        <w:t xml:space="preserve"> </w:t>
      </w:r>
      <w:r>
        <w:rPr>
          <w:b/>
          <w:bCs/>
        </w:rPr>
        <w:t xml:space="preserve">1%-2%</w:t>
      </w:r>
      <w:r>
        <w:t xml:space="preserve">.</w:t>
      </w:r>
    </w:p>
    <w:p>
      <w:pPr>
        <w:pStyle w:val="BodyText"/>
      </w:pPr>
      <w:r>
        <w:t xml:space="preserve">Q2 should benefit sequentially from patients satisfying deductibles and coinsurance. The more important issue is what happens after adjusting for that seasonality.</w:t>
      </w:r>
    </w:p>
    <w:p>
      <w:pPr>
        <w:pStyle w:val="BodyText"/>
      </w:pPr>
      <w:r>
        <w:t xml:space="preserve">Management previously estimated an approximately</w:t>
      </w:r>
      <w:r>
        <w:t xml:space="preserve"> </w:t>
      </w:r>
      <w:r>
        <w:rPr>
          <w:b/>
          <w:bCs/>
        </w:rPr>
        <w:t xml:space="preserve">$40 million 2026 headwind</w:t>
      </w:r>
      <w:r>
        <w:t xml:space="preserve"> </w:t>
      </w:r>
      <w:r>
        <w:t xml:space="preserve">from ACA-plan dynamics. Q1 enrollment was slightly better than anticipated, but more patients selected lower-premium bronze plans, increasing patient-pay exposure. Commercial mix and Medicare Advantage penetration were broadly stable in Q1.</w:t>
      </w:r>
    </w:p>
    <w:p>
      <w:pPr>
        <w:pStyle w:val="BodyText"/>
      </w:pPr>
      <w:r>
        <w:t xml:space="preserve">Investors should watch for:</w:t>
      </w:r>
    </w:p>
    <w:p>
      <w:pPr>
        <w:pStyle w:val="Compact"/>
        <w:numPr>
          <w:ilvl w:val="0"/>
          <w:numId w:val="1005"/>
        </w:numPr>
      </w:pPr>
      <w:r>
        <w:t xml:space="preserve">Sequential RPT improvement consistent with normal seasonality</w:t>
      </w:r>
    </w:p>
    <w:p>
      <w:pPr>
        <w:pStyle w:val="Compact"/>
        <w:numPr>
          <w:ilvl w:val="0"/>
          <w:numId w:val="1005"/>
        </w:numPr>
      </w:pPr>
      <w:r>
        <w:t xml:space="preserve">Updated commercial-payor mix</w:t>
      </w:r>
    </w:p>
    <w:p>
      <w:pPr>
        <w:pStyle w:val="Compact"/>
        <w:numPr>
          <w:ilvl w:val="0"/>
          <w:numId w:val="1005"/>
        </w:numPr>
      </w:pPr>
      <w:r>
        <w:t xml:space="preserve">ACA enrollment and effectuation rates</w:t>
      </w:r>
    </w:p>
    <w:p>
      <w:pPr>
        <w:pStyle w:val="Compact"/>
        <w:numPr>
          <w:ilvl w:val="0"/>
          <w:numId w:val="1005"/>
        </w:numPr>
      </w:pPr>
      <w:r>
        <w:t xml:space="preserve">Collections from patients with high-deductible plans</w:t>
      </w:r>
    </w:p>
    <w:p>
      <w:pPr>
        <w:pStyle w:val="Compact"/>
        <w:numPr>
          <w:ilvl w:val="0"/>
          <w:numId w:val="1005"/>
        </w:numPr>
      </w:pPr>
      <w:r>
        <w:t xml:space="preserve">Whether the approximately $40 million headwind is maintained, reduced or increased</w:t>
      </w:r>
    </w:p>
    <w:p>
      <w:pPr>
        <w:pStyle w:val="FirstParagraph"/>
      </w:pPr>
      <w:r>
        <w:t xml:space="preserve">A strong headline RPT figure will be less meaningful if it reflects timing rather than sustainable reimbursement or mix.</w:t>
      </w:r>
    </w:p>
    <w:bookmarkEnd w:id="16"/>
    <w:bookmarkStart w:id="17" w:name="Xef8a78d5062f12972931048c9e4c456af5c2a36"/>
    <w:p>
      <w:pPr>
        <w:pStyle w:val="Heading3"/>
      </w:pPr>
      <w:r>
        <w:t xml:space="preserve">3. Labor productivity is the key margin variable</w:t>
      </w:r>
    </w:p>
    <w:p>
      <w:pPr>
        <w:pStyle w:val="FirstParagraph"/>
      </w:pPr>
      <w:r>
        <w:t xml:space="preserve">Q1 patient-care costs were better than management expected, largely because of productivity improvements. This was one of the main reasons DaVita raised its operating-income guidance.</w:t>
      </w:r>
    </w:p>
    <w:p>
      <w:pPr>
        <w:pStyle w:val="BodyText"/>
      </w:pPr>
      <w:r>
        <w:t xml:space="preserve">The critical question is whether these efficiencies continued through Q2 despite wage inflation, insurance costs and an industry-wide shortage of skilled clinical labor.</w:t>
      </w:r>
    </w:p>
    <w:p>
      <w:pPr>
        <w:pStyle w:val="BodyText"/>
      </w:pPr>
      <w:r>
        <w:t xml:space="preserve">DaVita is also spending more on technology. U.S. dialysis G&amp;A rose 13% year over year in Q1, primarily because of IT investments. Management argues that investors should evaluate total costs rather than G&amp;A in isolation, because technology may lower center-level labor and administrative costs elsewhere.</w:t>
      </w:r>
    </w:p>
    <w:p>
      <w:pPr>
        <w:pStyle w:val="BodyText"/>
      </w:pPr>
      <w:r>
        <w:t xml:space="preserve">A high-quality quarter would therefore show:</w:t>
      </w:r>
    </w:p>
    <w:p>
      <w:pPr>
        <w:pStyle w:val="Compact"/>
        <w:numPr>
          <w:ilvl w:val="0"/>
          <w:numId w:val="1006"/>
        </w:numPr>
      </w:pPr>
      <w:r>
        <w:t xml:space="preserve">Controlled patient-care cost per treatment</w:t>
      </w:r>
    </w:p>
    <w:p>
      <w:pPr>
        <w:pStyle w:val="Compact"/>
        <w:numPr>
          <w:ilvl w:val="0"/>
          <w:numId w:val="1006"/>
        </w:numPr>
      </w:pPr>
      <w:r>
        <w:t xml:space="preserve">Continued labor-productivity gains</w:t>
      </w:r>
    </w:p>
    <w:p>
      <w:pPr>
        <w:pStyle w:val="Compact"/>
        <w:numPr>
          <w:ilvl w:val="0"/>
          <w:numId w:val="1006"/>
        </w:numPr>
      </w:pPr>
      <w:r>
        <w:t xml:space="preserve">No material increase in contract labor or turnover</w:t>
      </w:r>
    </w:p>
    <w:p>
      <w:pPr>
        <w:pStyle w:val="Compact"/>
        <w:numPr>
          <w:ilvl w:val="0"/>
          <w:numId w:val="1006"/>
        </w:numPr>
      </w:pPr>
      <w:r>
        <w:t xml:space="preserve">Total cost growth within management’s framework</w:t>
      </w:r>
    </w:p>
    <w:p>
      <w:pPr>
        <w:pStyle w:val="Compact"/>
        <w:numPr>
          <w:ilvl w:val="0"/>
          <w:numId w:val="1006"/>
        </w:numPr>
      </w:pPr>
      <w:r>
        <w:t xml:space="preserve">Evidence that higher IT expense is generating measurable efficiencies</w:t>
      </w:r>
    </w:p>
    <w:p>
      <w:pPr>
        <w:pStyle w:val="FirstParagraph"/>
      </w:pPr>
      <w:r>
        <w:t xml:space="preserve">The danger is that Q1’s productivity benefit was partly timing-related and that wage or benefit costs reaccelerate.</w:t>
      </w:r>
    </w:p>
    <w:bookmarkEnd w:id="17"/>
    <w:bookmarkStart w:id="18" w:name="X2f02d30892a199fc1db5f67989b61de9f26e547"/>
    <w:p>
      <w:pPr>
        <w:pStyle w:val="Heading3"/>
      </w:pPr>
      <w:r>
        <w:t xml:space="preserve">4. IKC earnings may remain noisy</w:t>
      </w:r>
    </w:p>
    <w:p>
      <w:pPr>
        <w:pStyle w:val="FirstParagraph"/>
      </w:pPr>
      <w:r>
        <w:t xml:space="preserve">Integrated Kidney Care recorded a</w:t>
      </w:r>
      <w:r>
        <w:t xml:space="preserve"> </w:t>
      </w:r>
      <w:r>
        <w:rPr>
          <w:b/>
          <w:bCs/>
        </w:rPr>
        <w:t xml:space="preserve">$19 million operating loss</w:t>
      </w:r>
      <w:r>
        <w:t xml:space="preserve"> </w:t>
      </w:r>
      <w:r>
        <w:t xml:space="preserve">in Q1, compared with a $46 million profit in Q4 2025. Management said the variation reflected shared-savings timing and expects IKC income to be weighted toward Q4.</w:t>
      </w:r>
    </w:p>
    <w:p>
      <w:pPr>
        <w:pStyle w:val="BodyText"/>
      </w:pPr>
      <w:r>
        <w:t xml:space="preserve">Consequently, Q2 IKC results could remain weak without necessarily implying deterioration in the full-year outlook. Investors should focus on:</w:t>
      </w:r>
    </w:p>
    <w:p>
      <w:pPr>
        <w:pStyle w:val="Compact"/>
        <w:numPr>
          <w:ilvl w:val="0"/>
          <w:numId w:val="1007"/>
        </w:numPr>
      </w:pPr>
      <w:r>
        <w:t xml:space="preserve">Risk-based patient count, which was</w:t>
      </w:r>
      <w:r>
        <w:t xml:space="preserve"> </w:t>
      </w:r>
      <w:r>
        <w:rPr>
          <w:b/>
          <w:bCs/>
        </w:rPr>
        <w:t xml:space="preserve">62,600</w:t>
      </w:r>
      <w:r>
        <w:t xml:space="preserve"> </w:t>
      </w:r>
      <w:r>
        <w:t xml:space="preserve">in Q1</w:t>
      </w:r>
    </w:p>
    <w:p>
      <w:pPr>
        <w:pStyle w:val="Compact"/>
        <w:numPr>
          <w:ilvl w:val="0"/>
          <w:numId w:val="1007"/>
        </w:numPr>
      </w:pPr>
      <w:r>
        <w:t xml:space="preserve">Annualized risk-based medical spend, previously</w:t>
      </w:r>
      <w:r>
        <w:t xml:space="preserve"> </w:t>
      </w:r>
      <w:r>
        <w:rPr>
          <w:b/>
          <w:bCs/>
        </w:rPr>
        <w:t xml:space="preserve">$5.4 billion</w:t>
      </w:r>
    </w:p>
    <w:p>
      <w:pPr>
        <w:pStyle w:val="Compact"/>
        <w:numPr>
          <w:ilvl w:val="0"/>
          <w:numId w:val="1007"/>
        </w:numPr>
      </w:pPr>
      <w:r>
        <w:t xml:space="preserve">Changes to shared-savings estimates</w:t>
      </w:r>
    </w:p>
    <w:p>
      <w:pPr>
        <w:pStyle w:val="Compact"/>
        <w:numPr>
          <w:ilvl w:val="0"/>
          <w:numId w:val="1007"/>
        </w:numPr>
      </w:pPr>
      <w:r>
        <w:t xml:space="preserve">Clinical quality and savings performance</w:t>
      </w:r>
    </w:p>
    <w:p>
      <w:pPr>
        <w:pStyle w:val="Compact"/>
        <w:numPr>
          <w:ilvl w:val="0"/>
          <w:numId w:val="1007"/>
        </w:numPr>
      </w:pPr>
      <w:r>
        <w:t xml:space="preserve">Confirmation of the expected Q4 earnings concentration</w:t>
      </w:r>
    </w:p>
    <w:p>
      <w:pPr>
        <w:pStyle w:val="FirstParagraph"/>
      </w:pPr>
      <w:r>
        <w:t xml:space="preserve">Still, another loss paired with softer full-year commentary would raise questions about the predictability and economic value of the business.</w:t>
      </w:r>
    </w:p>
    <w:bookmarkEnd w:id="18"/>
    <w:bookmarkStart w:id="20" w:name="X2239d1cc0cb57abbfdbe0d79a059522f2b086b2"/>
    <w:p>
      <w:pPr>
        <w:pStyle w:val="Heading3"/>
      </w:pPr>
      <w:r>
        <w:t xml:space="preserve">5. Buybacks amplify EPS—but also increase financial leverage</w:t>
      </w:r>
    </w:p>
    <w:p>
      <w:pPr>
        <w:pStyle w:val="FirstParagraph"/>
      </w:pPr>
      <w:r>
        <w:t xml:space="preserve">DaVita repurchased: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3.0 million shares for $403 million</w:t>
      </w:r>
      <w:r>
        <w:t xml:space="preserve"> </w:t>
      </w:r>
      <w:r>
        <w:t xml:space="preserve">during Q1</w:t>
      </w:r>
    </w:p>
    <w:p>
      <w:pPr>
        <w:pStyle w:val="Compact"/>
        <w:numPr>
          <w:ilvl w:val="0"/>
          <w:numId w:val="1008"/>
        </w:numPr>
      </w:pPr>
      <w:r>
        <w:t xml:space="preserve">Another</w:t>
      </w:r>
      <w:r>
        <w:t xml:space="preserve"> </w:t>
      </w:r>
      <w:r>
        <w:rPr>
          <w:b/>
          <w:bCs/>
        </w:rPr>
        <w:t xml:space="preserve">2.0 million shares for $302 million</w:t>
      </w:r>
      <w:r>
        <w:t xml:space="preserve"> </w:t>
      </w:r>
      <w:r>
        <w:t xml:space="preserve">between quarter-end and May 5</w:t>
      </w:r>
    </w:p>
    <w:p>
      <w:pPr>
        <w:pStyle w:val="FirstParagraph"/>
      </w:pPr>
      <w:r>
        <w:t xml:space="preserve">The company had approximately</w:t>
      </w:r>
      <w:r>
        <w:t xml:space="preserve"> </w:t>
      </w:r>
      <w:r>
        <w:rPr>
          <w:b/>
          <w:bCs/>
        </w:rPr>
        <w:t xml:space="preserve">64.2 million shares outstanding on May 5</w:t>
      </w:r>
      <w:r>
        <w:t xml:space="preserve">, down substantially from the prior year. (</w:t>
      </w:r>
      <w:hyperlink r:id="rId19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That lower denominator is a major contributor to the expected EPS growth. However, it comes with a balance-sheet trade-off:</w:t>
      </w:r>
    </w:p>
    <w:p>
      <w:pPr>
        <w:pStyle w:val="Compact"/>
        <w:numPr>
          <w:ilvl w:val="0"/>
          <w:numId w:val="1009"/>
        </w:numPr>
      </w:pPr>
      <w:r>
        <w:t xml:space="preserve">Q1 total debt was approximately</w:t>
      </w:r>
      <w:r>
        <w:t xml:space="preserve"> </w:t>
      </w:r>
      <w:r>
        <w:rPr>
          <w:b/>
          <w:bCs/>
        </w:rPr>
        <w:t xml:space="preserve">$10.7 billion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Net debt was approximately</w:t>
      </w:r>
      <w:r>
        <w:t xml:space="preserve"> </w:t>
      </w:r>
      <w:r>
        <w:rPr>
          <w:b/>
          <w:bCs/>
        </w:rPr>
        <w:t xml:space="preserve">$10.1 billion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Leverage was</w:t>
      </w:r>
      <w:r>
        <w:t xml:space="preserve"> </w:t>
      </w:r>
      <w:r>
        <w:rPr>
          <w:b/>
          <w:bCs/>
        </w:rPr>
        <w:t xml:space="preserve">3.34x</w:t>
      </w:r>
      <w:r>
        <w:t xml:space="preserve">, near the upper half of management’s 3.0x-3.5x target range.</w:t>
      </w:r>
    </w:p>
    <w:p>
      <w:pPr>
        <w:pStyle w:val="Compact"/>
        <w:numPr>
          <w:ilvl w:val="0"/>
          <w:numId w:val="1009"/>
        </w:numPr>
      </w:pPr>
      <w:r>
        <w:t xml:space="preserve">Management expected quarterly debt expense of roughly</w:t>
      </w:r>
      <w:r>
        <w:t xml:space="preserve"> </w:t>
      </w:r>
      <w:r>
        <w:rPr>
          <w:b/>
          <w:bCs/>
        </w:rPr>
        <w:t xml:space="preserve">$145 million</w:t>
      </w:r>
      <w:r>
        <w:t xml:space="preserve"> </w:t>
      </w:r>
      <w:r>
        <w:t xml:space="preserve">for the rest of 2026.</w:t>
      </w:r>
    </w:p>
    <w:p>
      <w:pPr>
        <w:pStyle w:val="FirstParagraph"/>
      </w:pPr>
      <w:r>
        <w:t xml:space="preserve">The report should reveal whether DaVita kept repurchasing aggressively as the share price rose. Buybacks made sense at the roughly</w:t>
      </w:r>
      <w:r>
        <w:t xml:space="preserve"> </w:t>
      </w:r>
      <m:oMath>
        <m:r>
          <m:t>134</m:t>
        </m:r>
        <m:r>
          <m:rPr>
            <m:sty m:val="p"/>
          </m:rPr>
          <m:t>−</m:t>
        </m:r>
      </m:oMath>
      <w:r>
        <w:t xml:space="preserve">150 prices paid early in the year; the return is less obvious with the stock above $230.</w:t>
      </w:r>
    </w:p>
    <w:bookmarkEnd w:id="20"/>
    <w:bookmarkEnd w:id="21"/>
    <w:bookmarkStart w:id="23" w:name="guidance-is-the-real-hurdle"/>
    <w:p>
      <w:pPr>
        <w:pStyle w:val="Heading2"/>
      </w:pPr>
      <w:r>
        <w:t xml:space="preserve">Guidance is the real hurdle</w:t>
      </w:r>
    </w:p>
    <w:p>
      <w:pPr>
        <w:pStyle w:val="FirstParagraph"/>
      </w:pPr>
      <w:r>
        <w:t xml:space="preserve">Management said after Q1 that adjusted operating income should be approximately evenly distributed across the final three quarters of 2026.</w:t>
      </w:r>
    </w:p>
    <w:p>
      <w:pPr>
        <w:pStyle w:val="BodyText"/>
      </w:pPr>
      <w:r>
        <w:t xml:space="preserve">After subtracting Q1’s $482 million from the full-year range, that implies approximately: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$556 million per remaining quarter</w:t>
      </w:r>
      <w:r>
        <w:t xml:space="preserve"> </w:t>
      </w:r>
      <w:r>
        <w:t xml:space="preserve">at the low end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$589 million per remaining quarter</w:t>
      </w:r>
      <w:r>
        <w:t xml:space="preserve"> </w:t>
      </w:r>
      <w:r>
        <w:t xml:space="preserve">at the high end</w:t>
      </w:r>
    </w:p>
    <w:p>
      <w:pPr>
        <w:pStyle w:val="Compact"/>
        <w:numPr>
          <w:ilvl w:val="0"/>
          <w:numId w:val="1010"/>
        </w:numPr>
      </w:pPr>
      <w:r>
        <w:t xml:space="preserve">Roughly</w:t>
      </w:r>
      <w:r>
        <w:t xml:space="preserve"> </w:t>
      </w:r>
      <w:r>
        <w:rPr>
          <w:b/>
          <w:bCs/>
        </w:rPr>
        <w:t xml:space="preserve">$573 million</w:t>
      </w:r>
      <w:r>
        <w:t xml:space="preserve"> </w:t>
      </w:r>
      <w:r>
        <w:t xml:space="preserve">at the midpoint</w:t>
      </w:r>
    </w:p>
    <w:p>
      <w:pPr>
        <w:pStyle w:val="FirstParagraph"/>
      </w:pPr>
      <w:r>
        <w:t xml:space="preserve">That is a useful operating-income benchmark for Q2.</w:t>
      </w:r>
    </w:p>
    <w:p>
      <w:pPr>
        <w:pStyle w:val="BodyText"/>
      </w:pPr>
      <w:r>
        <w:t xml:space="preserve">The existing EPS range has a midpoint of</w:t>
      </w:r>
      <w:r>
        <w:t xml:space="preserve"> </w:t>
      </w:r>
      <w:r>
        <w:rPr>
          <w:b/>
          <w:bCs/>
        </w:rPr>
        <w:t xml:space="preserve">$14.65</w:t>
      </w:r>
      <w:r>
        <w:t xml:space="preserve">. At the August 3 closing price of $233.72, DVA traded at roughly</w:t>
      </w:r>
      <w:r>
        <w:t xml:space="preserve"> </w:t>
      </w:r>
      <w:r>
        <w:rPr>
          <w:b/>
          <w:bCs/>
        </w:rPr>
        <w:t xml:space="preserve">16x midpoint 2026 adjusted EPS guidance</w:t>
      </w:r>
      <w:r>
        <w:t xml:space="preserve">. The stock also had risen approximately 49% from its May 5 close, meaning expectations have increased considerably since the Q1 report.</w:t>
      </w:r>
    </w:p>
    <w:bookmarkStart w:id="22" w:name="what-the-market-may-require"/>
    <w:p>
      <w:pPr>
        <w:pStyle w:val="Heading3"/>
      </w:pPr>
      <w:r>
        <w:t xml:space="preserve">What the market may require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Beat and raise:</w:t>
      </w:r>
      <w:r>
        <w:t xml:space="preserve"> </w:t>
      </w:r>
      <w:r>
        <w:t xml:space="preserve">Likely needed for a clearly positive reaction.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Beat with unchanged guidance:</w:t>
      </w:r>
      <w:r>
        <w:t xml:space="preserve"> </w:t>
      </w:r>
      <w:r>
        <w:t xml:space="preserve">Could be viewed as timing-driven or conservative, depending on the call.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In-line results with unchanged guidance:</w:t>
      </w:r>
      <w:r>
        <w:t xml:space="preserve"> </w:t>
      </w:r>
      <w:r>
        <w:t xml:space="preserve">May disappoint after the rerating.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Any guidance reduction:</w:t>
      </w:r>
      <w:r>
        <w:t xml:space="preserve"> </w:t>
      </w:r>
      <w:r>
        <w:t xml:space="preserve">Would probably be taken poorly, particularly if driven by volume or labor costs rather than IKC timing.</w:t>
      </w:r>
    </w:p>
    <w:bookmarkEnd w:id="22"/>
    <w:bookmarkEnd w:id="23"/>
    <w:bookmarkStart w:id="27" w:name="potential-outcome-framework"/>
    <w:p>
      <w:pPr>
        <w:pStyle w:val="Heading2"/>
      </w:pPr>
      <w:r>
        <w:t xml:space="preserve">Potential outcome framework</w:t>
      </w:r>
    </w:p>
    <w:bookmarkStart w:id="24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2"/>
        </w:numPr>
      </w:pPr>
      <w:r>
        <w:t xml:space="preserve">Revenue and adjusted EPS exceed consensus.</w:t>
      </w:r>
    </w:p>
    <w:p>
      <w:pPr>
        <w:pStyle w:val="Compact"/>
        <w:numPr>
          <w:ilvl w:val="0"/>
          <w:numId w:val="1012"/>
        </w:numPr>
      </w:pPr>
      <w:r>
        <w:t xml:space="preserve">Normalized treatment growth accelerates materially.</w:t>
      </w:r>
    </w:p>
    <w:p>
      <w:pPr>
        <w:pStyle w:val="Compact"/>
        <w:numPr>
          <w:ilvl w:val="0"/>
          <w:numId w:val="1012"/>
        </w:numPr>
      </w:pPr>
      <w:r>
        <w:t xml:space="preserve">Patient transfers and better mortality remain supportive.</w:t>
      </w:r>
    </w:p>
    <w:p>
      <w:pPr>
        <w:pStyle w:val="Compact"/>
        <w:numPr>
          <w:ilvl w:val="0"/>
          <w:numId w:val="1012"/>
        </w:numPr>
      </w:pPr>
      <w:r>
        <w:t xml:space="preserve">Productivity offsets wage inflation.</w:t>
      </w:r>
    </w:p>
    <w:p>
      <w:pPr>
        <w:pStyle w:val="Compact"/>
        <w:numPr>
          <w:ilvl w:val="0"/>
          <w:numId w:val="1012"/>
        </w:numPr>
      </w:pPr>
      <w:r>
        <w:t xml:space="preserve">ACA/commercial-mix pressure is less severe than feared.</w:t>
      </w:r>
    </w:p>
    <w:p>
      <w:pPr>
        <w:pStyle w:val="Compact"/>
        <w:numPr>
          <w:ilvl w:val="0"/>
          <w:numId w:val="1012"/>
        </w:numPr>
      </w:pPr>
      <w:r>
        <w:t xml:space="preserve">Full-year adjusted operating-income and EPS guidance rise.</w:t>
      </w:r>
    </w:p>
    <w:p>
      <w:pPr>
        <w:pStyle w:val="Compact"/>
        <w:numPr>
          <w:ilvl w:val="0"/>
          <w:numId w:val="1012"/>
        </w:numPr>
      </w:pPr>
      <w:r>
        <w:t xml:space="preserve">Leverage remains within the target range despite buybacks.</w:t>
      </w:r>
    </w:p>
    <w:p>
      <w:pPr>
        <w:pStyle w:val="FirstParagraph"/>
      </w:pPr>
      <w:r>
        <w:t xml:space="preserve">This would support the view that DaVita can produce attractive per-share earnings growth even with modest underlying treatment volumes.</w:t>
      </w:r>
    </w:p>
    <w:bookmarkEnd w:id="24"/>
    <w:bookmarkStart w:id="25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3"/>
        </w:numPr>
      </w:pPr>
      <w:r>
        <w:t xml:space="preserve">Results are close to or modestly above consensus.</w:t>
      </w:r>
    </w:p>
    <w:p>
      <w:pPr>
        <w:pStyle w:val="Compact"/>
        <w:numPr>
          <w:ilvl w:val="0"/>
          <w:numId w:val="1013"/>
        </w:numPr>
      </w:pPr>
      <w:r>
        <w:t xml:space="preserve">Treatment growth improves, but only gradually.</w:t>
      </w:r>
    </w:p>
    <w:p>
      <w:pPr>
        <w:pStyle w:val="Compact"/>
        <w:numPr>
          <w:ilvl w:val="0"/>
          <w:numId w:val="1013"/>
        </w:numPr>
      </w:pPr>
      <w:r>
        <w:t xml:space="preserve">RPT follows normal seasonality while commercial mix softens.</w:t>
      </w:r>
    </w:p>
    <w:p>
      <w:pPr>
        <w:pStyle w:val="Compact"/>
        <w:numPr>
          <w:ilvl w:val="0"/>
          <w:numId w:val="1013"/>
        </w:numPr>
      </w:pPr>
      <w:r>
        <w:t xml:space="preserve">Labor remains controlled.</w:t>
      </w:r>
    </w:p>
    <w:p>
      <w:pPr>
        <w:pStyle w:val="Compact"/>
        <w:numPr>
          <w:ilvl w:val="0"/>
          <w:numId w:val="1013"/>
        </w:numPr>
      </w:pPr>
      <w:r>
        <w:t xml:space="preserve">IKC stays weak ahead of an expected Q4 contribution.</w:t>
      </w:r>
    </w:p>
    <w:p>
      <w:pPr>
        <w:pStyle w:val="Compact"/>
        <w:numPr>
          <w:ilvl w:val="0"/>
          <w:numId w:val="1013"/>
        </w:numPr>
      </w:pPr>
      <w:r>
        <w:t xml:space="preserve">Guidance is reiterated or only the lower end is raised.</w:t>
      </w:r>
    </w:p>
    <w:p>
      <w:pPr>
        <w:pStyle w:val="FirstParagraph"/>
      </w:pPr>
      <w:r>
        <w:t xml:space="preserve">That would be a solid fundamental report, although the stock reaction could be muted given its recent performance.</w:t>
      </w:r>
    </w:p>
    <w:bookmarkEnd w:id="25"/>
    <w:bookmarkStart w:id="26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4"/>
        </w:numPr>
      </w:pPr>
      <w:r>
        <w:t xml:space="preserve">Treatment growth fails to accelerate.</w:t>
      </w:r>
    </w:p>
    <w:p>
      <w:pPr>
        <w:pStyle w:val="Compact"/>
        <w:numPr>
          <w:ilvl w:val="0"/>
          <w:numId w:val="1014"/>
        </w:numPr>
      </w:pPr>
      <w:r>
        <w:t xml:space="preserve">The patient-transfer benefit is smaller than expected.</w:t>
      </w:r>
    </w:p>
    <w:p>
      <w:pPr>
        <w:pStyle w:val="Compact"/>
        <w:numPr>
          <w:ilvl w:val="0"/>
          <w:numId w:val="1014"/>
        </w:numPr>
      </w:pPr>
      <w:r>
        <w:t xml:space="preserve">Commercial-payor or ACA-plan pressure lowers RPT.</w:t>
      </w:r>
    </w:p>
    <w:p>
      <w:pPr>
        <w:pStyle w:val="Compact"/>
        <w:numPr>
          <w:ilvl w:val="0"/>
          <w:numId w:val="1014"/>
        </w:numPr>
      </w:pPr>
      <w:r>
        <w:t xml:space="preserve">Patient-care costs reaccelerate.</w:t>
      </w:r>
    </w:p>
    <w:p>
      <w:pPr>
        <w:pStyle w:val="Compact"/>
        <w:numPr>
          <w:ilvl w:val="0"/>
          <w:numId w:val="1014"/>
        </w:numPr>
      </w:pPr>
      <w:r>
        <w:t xml:space="preserve">IKC losses persist without confidence in a Q4 recovery.</w:t>
      </w:r>
    </w:p>
    <w:p>
      <w:pPr>
        <w:pStyle w:val="Compact"/>
        <w:numPr>
          <w:ilvl w:val="0"/>
          <w:numId w:val="1014"/>
        </w:numPr>
      </w:pPr>
      <w:r>
        <w:t xml:space="preserve">Buybacks push leverage above management’s preferred range.</w:t>
      </w:r>
    </w:p>
    <w:p>
      <w:pPr>
        <w:pStyle w:val="Compact"/>
        <w:numPr>
          <w:ilvl w:val="0"/>
          <w:numId w:val="1014"/>
        </w:numPr>
      </w:pPr>
      <w:r>
        <w:t xml:space="preserve">Guidance is maintained despite an apparent second-half stretch—or reduced outright.</w:t>
      </w:r>
    </w:p>
    <w:bookmarkEnd w:id="26"/>
    <w:bookmarkEnd w:id="27"/>
    <w:bookmarkStart w:id="28" w:name="X12f053325472ac28f9bae2eb1254359fd9be28d"/>
    <w:p>
      <w:pPr>
        <w:pStyle w:val="Heading2"/>
      </w:pPr>
      <w:r>
        <w:t xml:space="preserve">Questions investors should want answered on the call</w:t>
      </w:r>
    </w:p>
    <w:p>
      <w:pPr>
        <w:pStyle w:val="Compact"/>
        <w:numPr>
          <w:ilvl w:val="0"/>
          <w:numId w:val="1015"/>
        </w:numPr>
      </w:pPr>
      <w:r>
        <w:t xml:space="preserve">What was Q2 normalized non-acquired treatment growth?</w:t>
      </w:r>
    </w:p>
    <w:p>
      <w:pPr>
        <w:pStyle w:val="Compact"/>
        <w:numPr>
          <w:ilvl w:val="0"/>
          <w:numId w:val="1015"/>
        </w:numPr>
      </w:pPr>
      <w:r>
        <w:t xml:space="preserve">How much volume came from competitor clinic closures, and is the transfer process substantially complete?</w:t>
      </w:r>
    </w:p>
    <w:p>
      <w:pPr>
        <w:pStyle w:val="Compact"/>
        <w:numPr>
          <w:ilvl w:val="0"/>
          <w:numId w:val="1015"/>
        </w:numPr>
      </w:pPr>
      <w:r>
        <w:t xml:space="preserve">Have mortality and admissions trends changed since May?</w:t>
      </w:r>
    </w:p>
    <w:p>
      <w:pPr>
        <w:pStyle w:val="Compact"/>
        <w:numPr>
          <w:ilvl w:val="0"/>
          <w:numId w:val="1015"/>
        </w:numPr>
      </w:pPr>
      <w:r>
        <w:t xml:space="preserve">What was underlying RPT growth after removing timing and seasonal effects?</w:t>
      </w:r>
    </w:p>
    <w:p>
      <w:pPr>
        <w:pStyle w:val="Compact"/>
        <w:numPr>
          <w:ilvl w:val="0"/>
          <w:numId w:val="1015"/>
        </w:numPr>
      </w:pPr>
      <w:r>
        <w:t xml:space="preserve">Is the approximately $40 million ACA-plan headwind still appropriate?</w:t>
      </w:r>
    </w:p>
    <w:p>
      <w:pPr>
        <w:pStyle w:val="Compact"/>
        <w:numPr>
          <w:ilvl w:val="0"/>
          <w:numId w:val="1015"/>
        </w:numPr>
      </w:pPr>
      <w:r>
        <w:t xml:space="preserve">Are commercial-payor and Medicare Advantage mix still stable?</w:t>
      </w:r>
    </w:p>
    <w:p>
      <w:pPr>
        <w:pStyle w:val="Compact"/>
        <w:numPr>
          <w:ilvl w:val="0"/>
          <w:numId w:val="1015"/>
        </w:numPr>
      </w:pPr>
      <w:r>
        <w:t xml:space="preserve">How much of Q1’s labor-productivity improvement carried into Q2?</w:t>
      </w:r>
    </w:p>
    <w:p>
      <w:pPr>
        <w:pStyle w:val="Compact"/>
        <w:numPr>
          <w:ilvl w:val="0"/>
          <w:numId w:val="1015"/>
        </w:numPr>
      </w:pPr>
      <w:r>
        <w:t xml:space="preserve">What is the expected quarterly path for IKC operating income?</w:t>
      </w:r>
    </w:p>
    <w:p>
      <w:pPr>
        <w:pStyle w:val="Compact"/>
        <w:numPr>
          <w:ilvl w:val="0"/>
          <w:numId w:val="1015"/>
        </w:numPr>
      </w:pPr>
      <w:r>
        <w:t xml:space="preserve">How much stock was repurchased, at what average price and with what effect on leverage?</w:t>
      </w:r>
    </w:p>
    <w:p>
      <w:pPr>
        <w:pStyle w:val="Compact"/>
        <w:numPr>
          <w:ilvl w:val="0"/>
          <w:numId w:val="1015"/>
        </w:numPr>
      </w:pPr>
      <w:r>
        <w:t xml:space="preserve">What would need to happen for management to raise the 2026 operating-income or EPS ranges?</w:t>
      </w:r>
    </w:p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DaVita’s setup is fundamentally favorable: treatment trends have improved, labor productivity is supporting margins and aggressive repurchases are driving substantial EPS accretion. But much of that optimism is now reflected in the share price.</w:t>
      </w:r>
    </w:p>
    <w:p>
      <w:pPr>
        <w:pStyle w:val="BodyText"/>
      </w:pPr>
      <w:r>
        <w:t xml:space="preserve">The most important result will not be whether adjusted EPS exceeds</w:t>
      </w:r>
      <w:r>
        <w:t xml:space="preserve"> </w:t>
      </w:r>
      <w:r>
        <w:rPr>
          <w:b/>
          <w:bCs/>
        </w:rPr>
        <w:t xml:space="preserve">$3.88</w:t>
      </w:r>
      <w:r>
        <w:t xml:space="preserve">. It will be whether management can demonstrate that the volume and productivity improvements behind Q1 are sustainable—and translate them into higher full-year guidance without taking leverage beyond its preferred range.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https://investors.davita.com/2026-05-05-davita-inc-1st-quarter-2026-results/?utm_source=openai" TargetMode="External" /><Relationship Type="http://schemas.openxmlformats.org/officeDocument/2006/relationships/hyperlink" Id="rId9" Target="https://newsroom.davita.com/2026-07-21-davita-inc-schedules-2nd-quarter-2026-investor-conference-call/?utm_source=openai" TargetMode="External" /><Relationship Type="http://schemas.openxmlformats.org/officeDocument/2006/relationships/hyperlink" Id="rId19" Target="https://www.sec.gov/Archives/edgar/data/927066/000092706626000062/R1.htm?utm_source=openai" TargetMode="External" /><Relationship Type="http://schemas.openxmlformats.org/officeDocument/2006/relationships/hyperlink" Id="rId11" Target="https://www.tipranks.com/stocks/dva/earning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investors.davita.com/2026-05-05-davita-inc-1st-quarter-2026-results/?utm_source=openai" TargetMode="External" /><Relationship Type="http://schemas.openxmlformats.org/officeDocument/2006/relationships/hyperlink" Id="rId9" Target="https://newsroom.davita.com/2026-07-21-davita-inc-schedules-2nd-quarter-2026-investor-conference-call/?utm_source=openai" TargetMode="External" /><Relationship Type="http://schemas.openxmlformats.org/officeDocument/2006/relationships/hyperlink" Id="rId19" Target="https://www.sec.gov/Archives/edgar/data/927066/000092706626000062/R1.htm?utm_source=openai" TargetMode="External" /><Relationship Type="http://schemas.openxmlformats.org/officeDocument/2006/relationships/hyperlink" Id="rId11" Target="https://www.tipranks.com/stocks/dva/earning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2026-08-04T01:45:14Z</dcterms:created>
  <dcterms:modified xsi:type="dcterms:W3CDTF">2026-08-04T01:45:14Z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