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davita-nyse-dva--2q26-earnings-preview"/>
    <w:p>
      <w:pPr>
        <w:pStyle w:val="Heading1"/>
      </w:pPr>
      <w:r>
        <w:t xml:space="preserve">DaVita (NYSE: DVA) — 2Q26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Today is</w:t>
      </w:r>
      <w:r>
        <w:t xml:space="preserve"> </w:t>
      </w:r>
      <w:r>
        <w:rPr>
          <w:b/>
          <w:bCs/>
        </w:rPr>
        <w:t xml:space="preserve">Tuesday, August 4, 2026</w:t>
      </w:r>
      <w:r>
        <w:t xml:space="preserve">. DaVita is scheduled to release 2Q26 results</w:t>
      </w:r>
      <w:r>
        <w:t xml:space="preserve"> </w:t>
      </w:r>
      <w:r>
        <w:rPr>
          <w:b/>
          <w:bCs/>
        </w:rPr>
        <w:t xml:space="preserve">after the market closes today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5:00 p.m. ET</w:t>
      </w:r>
      <w:r>
        <w:t xml:space="preserve">—not tomorrow. (</w:t>
      </w:r>
      <w:hyperlink r:id="rId9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bookmarkStart w:id="11" w:name="X36095f355f237366befce70a77e07b20158322c"/>
    <w:p>
      <w:pPr>
        <w:pStyle w:val="Heading2"/>
      </w:pPr>
      <w:r>
        <w:t xml:space="preserve">Investment view: the quarter is about validating a higher-growth earnings algorithm</w:t>
      </w:r>
    </w:p>
    <w:p>
      <w:pPr>
        <w:pStyle w:val="FirstParagraph"/>
      </w:pPr>
      <w:r>
        <w:t xml:space="preserve">DaVita enters 2Q with momentum, but also with a far more demanding setup after the stock’s sharp run this year. The core debate is no longer whether Q2 EPS beats a single-quarter consensus number; it is whether management can substantiate the components behind its raised 2026 outlook: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U.S. dialysis volume has turned modestly positive</w:t>
      </w:r>
      <w:r>
        <w:t xml:space="preserve">, aided by improved underlying mortality trends and transfers from Fresenius clinic closures.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Labor productivity is holding</w:t>
      </w:r>
      <w:r>
        <w:t xml:space="preserve">, allowing patient-care costs to grow more slowly than feared despite ongoing wage and supply pressures.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Commercial-mix and ACA-related headwinds remain deferred rather than eliminated</w:t>
      </w:r>
      <w:r>
        <w:t xml:space="preserve">, creating a potential second-half/2027 risk.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Capital returns remain powerful</w:t>
      </w:r>
      <w:r>
        <w:t xml:space="preserve">, although they are paired with elevated absolute debt and a leverage target that supports continued buybacks.</w:t>
      </w:r>
    </w:p>
    <w:p>
      <w:pPr>
        <w:pStyle w:val="FirstParagraph"/>
      </w:pPr>
      <w:r>
        <w:t xml:space="preserve">A constructive Q2 should therefore feature treatment growth consistent with the company’s new</w:t>
      </w:r>
      <w:r>
        <w:t xml:space="preserve"> </w:t>
      </w:r>
      <w:r>
        <w:rPr>
          <w:b/>
          <w:bCs/>
        </w:rPr>
        <w:t xml:space="preserve">+0.25% to +0.50% full-year treatment-volume outlook</w:t>
      </w:r>
      <w:r>
        <w:t xml:space="preserve">, continued cost discipline, and confidence in the current 2026 adjusted operating-income guide of</w:t>
      </w:r>
      <w:r>
        <w:t xml:space="preserve"> </w:t>
      </w:r>
      <m:oMath>
        <m:r>
          <m:t>2.15</m:t>
        </m:r>
        <m:r>
          <m:rPr>
            <m:sty m:val="p"/>
          </m:rPr>
          <m:t>–</m:t>
        </m:r>
      </m:oMath>
      <w:r>
        <w:rPr>
          <w:b/>
          <w:bCs/>
        </w:rPr>
        <w:t xml:space="preserve">2.25 billion</w:t>
      </w:r>
      <w:r>
        <w:t xml:space="preserve"> </w:t>
      </w:r>
      <w:r>
        <w:t xml:space="preserve">and adjusted EPS guide of</w:t>
      </w:r>
      <w:r>
        <w:t xml:space="preserve"> </w:t>
      </w:r>
      <m:oMath>
        <m:r>
          <m:t>14.10</m:t>
        </m:r>
        <m:r>
          <m:rPr>
            <m:sty m:val="p"/>
          </m:rPr>
          <m:t>–</m:t>
        </m:r>
      </m:oMath>
      <w:r>
        <w:rPr>
          <w:b/>
          <w:bCs/>
        </w:rPr>
        <w:t xml:space="preserve">15.20</w:t>
      </w:r>
      <w:r>
        <w:t xml:space="preserve">. 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bookmarkEnd w:id="11"/>
    <w:bookmarkStart w:id="18" w:name="what-matters-most-in-the-release"/>
    <w:p>
      <w:pPr>
        <w:pStyle w:val="Heading2"/>
      </w:pPr>
      <w:r>
        <w:t xml:space="preserve">What matters most in the release</w:t>
      </w:r>
    </w:p>
    <w:bookmarkStart w:id="12" w:name="X3dcbb49489f5a0ad70ccf097da7ec0bd021bf73"/>
    <w:p>
      <w:pPr>
        <w:pStyle w:val="Heading3"/>
      </w:pPr>
      <w:r>
        <w:t xml:space="preserve">1. U.S. dialysis volume: the central KPI</w:t>
      </w:r>
    </w:p>
    <w:p>
      <w:pPr>
        <w:pStyle w:val="FirstParagraph"/>
      </w:pPr>
      <w:r>
        <w:t xml:space="preserve">In 1Q26, normalized non-acquired treatment growth was only</w:t>
      </w:r>
      <w:r>
        <w:t xml:space="preserve"> </w:t>
      </w:r>
      <w:r>
        <w:rPr>
          <w:b/>
          <w:bCs/>
        </w:rPr>
        <w:t xml:space="preserve">+0.1%</w:t>
      </w:r>
      <w:r>
        <w:t xml:space="preserve">, but management raised full-year volume expectations to</w:t>
      </w:r>
      <w:r>
        <w:t xml:space="preserve"> </w:t>
      </w:r>
      <w:r>
        <w:rPr>
          <w:b/>
          <w:bCs/>
        </w:rPr>
        <w:t xml:space="preserve">+25–50 bps</w:t>
      </w:r>
      <w:r>
        <w:t xml:space="preserve">. The improvement was attributed roughly half to better underlying performance—especially lower-than-expected mortality—and half to patient transfers related to Fresenius closures. Management has indicated that most of the closure-related benefit should begin to show up during 2Q. 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What investors should look for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Treatments per normalized day</w:t>
      </w:r>
      <w:r>
        <w:t xml:space="preserve">, rather than headline treatments, to control for calendar effects.</w:t>
      </w:r>
    </w:p>
    <w:p>
      <w:pPr>
        <w:pStyle w:val="Compact"/>
        <w:numPr>
          <w:ilvl w:val="0"/>
          <w:numId w:val="1002"/>
        </w:numPr>
      </w:pPr>
      <w:r>
        <w:t xml:space="preserve">A clear step-up from the 1Q level of</w:t>
      </w:r>
      <w:r>
        <w:t xml:space="preserve"> </w:t>
      </w:r>
      <w:r>
        <w:rPr>
          <w:b/>
          <w:bCs/>
        </w:rPr>
        <w:t xml:space="preserve">91,889 average treatments per normalized day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Commentary on whether the Fresenius-transfer benefit has arrived as expected and how much is sustainable into 2027.</w:t>
      </w:r>
    </w:p>
    <w:p>
      <w:pPr>
        <w:pStyle w:val="Compact"/>
        <w:numPr>
          <w:ilvl w:val="0"/>
          <w:numId w:val="1002"/>
        </w:numPr>
      </w:pPr>
      <w:r>
        <w:t xml:space="preserve">Confirmation that lower mortality is not simply a seasonal or flu-related artifact.</w:t>
      </w:r>
    </w:p>
    <w:p>
      <w:pPr>
        <w:pStyle w:val="FirstParagraph"/>
      </w:pPr>
      <w:r>
        <w:rPr>
          <w:b/>
          <w:bCs/>
        </w:rPr>
        <w:t xml:space="preserve">Why it matters:</w:t>
      </w:r>
      <w:r>
        <w:t xml:space="preserve"> </w:t>
      </w:r>
      <w:r>
        <w:t xml:space="preserve">The stock’s re-rating depends in part on confidence that dialysis volumes can transition from flat/negative organic growth toward a more durable positive trajectory. A modest beat without stronger volume evidence would be less persuasive than an in-line EPS result paired with clear volume progress.</w:t>
      </w:r>
    </w:p>
    <w:bookmarkEnd w:id="12"/>
    <w:bookmarkStart w:id="14" w:name="X6793eb50ed193be2920946eef6a751be3cf881a"/>
    <w:p>
      <w:pPr>
        <w:pStyle w:val="Heading3"/>
      </w:pPr>
      <w:r>
        <w:t xml:space="preserve">2. Revenue per treatment: good Q2 seasonality, but mix is the risk</w:t>
      </w:r>
    </w:p>
    <w:p>
      <w:pPr>
        <w:pStyle w:val="FirstParagraph"/>
      </w:pPr>
      <w:r>
        <w:t xml:space="preserve">Q2 normally benefits from deductible/co-insurance seasonality. In 1Q, U.S. dialysis revenue per treatment was</w:t>
      </w:r>
      <w:r>
        <w:t xml:space="preserve"> </w:t>
      </w:r>
      <w:r>
        <w:rPr>
          <w:b/>
          <w:bCs/>
        </w:rPr>
        <w:t xml:space="preserve">$417.59</w:t>
      </w:r>
      <w:r>
        <w:t xml:space="preserve">, up 4.4% year over year, although management maintained its full-year expectation for only</w:t>
      </w:r>
      <w:r>
        <w:t xml:space="preserve"> </w:t>
      </w:r>
      <w:r>
        <w:rPr>
          <w:b/>
          <w:bCs/>
        </w:rPr>
        <w:t xml:space="preserve">1–2% RPT growth</w:t>
      </w:r>
      <w:r>
        <w:t xml:space="preserve">. The reason: a material portion of the 1Q strength was timing-related, while lower commercial mix tied to ACA exchange enrollment and reduced phosphate-binder pricing are expected to weigh more heavily later in the year. 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t xml:space="preserve">The year-ago comparison is also favorable mechanically: 2Q25 RPT was</w:t>
      </w:r>
      <w:r>
        <w:t xml:space="preserve"> </w:t>
      </w:r>
      <w:r>
        <w:rPr>
          <w:b/>
          <w:bCs/>
        </w:rPr>
        <w:t xml:space="preserve">$404.58</w:t>
      </w:r>
      <w:r>
        <w:t xml:space="preserve">, with the company citing normal seasonal improvement but lower phosphate-binder volumes. (</w:t>
      </w:r>
      <w:hyperlink r:id="rId13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Watch items</w:t>
      </w:r>
    </w:p>
    <w:p>
      <w:pPr>
        <w:pStyle w:val="Compact"/>
        <w:numPr>
          <w:ilvl w:val="0"/>
          <w:numId w:val="1003"/>
        </w:numPr>
      </w:pPr>
      <w:r>
        <w:t xml:space="preserve">Whether RPT sequentially improves as seasonality would suggest.</w:t>
      </w:r>
    </w:p>
    <w:p>
      <w:pPr>
        <w:pStyle w:val="Compact"/>
        <w:numPr>
          <w:ilvl w:val="0"/>
          <w:numId w:val="1003"/>
        </w:numPr>
      </w:pPr>
      <w:r>
        <w:t xml:space="preserve">Any change in management’s view of the roughly</w:t>
      </w:r>
      <w:r>
        <w:t xml:space="preserve"> </w:t>
      </w:r>
      <w:r>
        <w:rPr>
          <w:b/>
          <w:bCs/>
        </w:rPr>
        <w:t xml:space="preserve">$40 million 2026 ACA-related headwind</w:t>
      </w:r>
      <w:r>
        <w:t xml:space="preserve"> </w:t>
      </w:r>
      <w:r>
        <w:t xml:space="preserve">previously embedded in expectations.</w:t>
      </w:r>
    </w:p>
    <w:p>
      <w:pPr>
        <w:pStyle w:val="Compact"/>
        <w:numPr>
          <w:ilvl w:val="0"/>
          <w:numId w:val="1003"/>
        </w:numPr>
      </w:pPr>
      <w:r>
        <w:t xml:space="preserve">Language around commercial mix, exchange-plan affordability/effectuation, and the pace at which incident dialysis patients shift toward Medicare coverage.</w:t>
      </w:r>
    </w:p>
    <w:p>
      <w:pPr>
        <w:pStyle w:val="Compact"/>
        <w:numPr>
          <w:ilvl w:val="0"/>
          <w:numId w:val="1003"/>
        </w:numPr>
      </w:pPr>
      <w:r>
        <w:t xml:space="preserve">Confirmation that binder-related revenue pressure is offset by lower pharmaceutical cost, preserving operating income.</w:t>
      </w:r>
    </w:p>
    <w:p>
      <w:pPr>
        <w:pStyle w:val="FirstParagraph"/>
      </w:pPr>
      <w:r>
        <w:rPr>
          <w:b/>
          <w:bCs/>
        </w:rPr>
        <w:t xml:space="preserve">Interpretation:</w:t>
      </w:r>
      <w:r>
        <w:t xml:space="preserve"> </w:t>
      </w:r>
      <w:r>
        <w:t xml:space="preserve">Strong RPT without a guide increase may be viewed as timing. The higher-quality outcome is an RPT result that supports full-year guidance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evidence that commercial mix is holding up better than feared.</w:t>
      </w:r>
    </w:p>
    <w:bookmarkEnd w:id="14"/>
    <w:bookmarkStart w:id="15" w:name="Xd92799e1e9da9fdf89f75418315cc5e07e72b5f"/>
    <w:p>
      <w:pPr>
        <w:pStyle w:val="Heading3"/>
      </w:pPr>
      <w:r>
        <w:t xml:space="preserve">3. Cost execution: productivity must offset investment spending</w:t>
      </w:r>
    </w:p>
    <w:p>
      <w:pPr>
        <w:pStyle w:val="FirstParagraph"/>
      </w:pPr>
      <w:r>
        <w:t xml:space="preserve">DaVita’s 1Q patient-care cost per treatment was</w:t>
      </w:r>
      <w:r>
        <w:t xml:space="preserve"> </w:t>
      </w:r>
      <w:r>
        <w:rPr>
          <w:b/>
          <w:bCs/>
        </w:rPr>
        <w:t xml:space="preserve">$280.11</w:t>
      </w:r>
      <w:r>
        <w:t xml:space="preserve">, up 3.1% year over year, driven by compensation, insurance, and medical-supply costs. Yet costs were better than management had anticipated because of productivity gains. At the same time, U.S. dialysis G&amp;A rose 13% year over year, largely reflecting IT and technology investment. 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t xml:space="preserve">The key analytical issue is not whether G&amp;A is elevated in isolation. Management’s argument is that technology and AI investment should generate returns through labor productivity, revenue-cycle performance, and clinical/operational efficiency elsewhere in the P&amp;L.</w:t>
      </w:r>
    </w:p>
    <w:p>
      <w:pPr>
        <w:pStyle w:val="BodyText"/>
      </w:pPr>
      <w:r>
        <w:rPr>
          <w:b/>
          <w:bCs/>
        </w:rPr>
        <w:t xml:space="preserve">What would be positive</w:t>
      </w:r>
    </w:p>
    <w:p>
      <w:pPr>
        <w:pStyle w:val="Compact"/>
        <w:numPr>
          <w:ilvl w:val="0"/>
          <w:numId w:val="1004"/>
        </w:numPr>
      </w:pPr>
      <w:r>
        <w:t xml:space="preserve">Patient-care cost per treatment at or below management’s implied run-rate.</w:t>
      </w:r>
    </w:p>
    <w:p>
      <w:pPr>
        <w:pStyle w:val="Compact"/>
        <w:numPr>
          <w:ilvl w:val="0"/>
          <w:numId w:val="1004"/>
        </w:numPr>
      </w:pPr>
      <w:r>
        <w:t xml:space="preserve">Evidence that labor productivity gains are persisting rather than merely benefiting 1Q.</w:t>
      </w:r>
    </w:p>
    <w:p>
      <w:pPr>
        <w:pStyle w:val="Compact"/>
        <w:numPr>
          <w:ilvl w:val="0"/>
          <w:numId w:val="1004"/>
        </w:numPr>
      </w:pPr>
      <w:r>
        <w:t xml:space="preserve">No incrementally negative commentary on supply costs, tariffs, contract labor, or union activity.</w:t>
      </w:r>
    </w:p>
    <w:p>
      <w:pPr>
        <w:pStyle w:val="Compact"/>
        <w:numPr>
          <w:ilvl w:val="0"/>
          <w:numId w:val="1004"/>
        </w:numPr>
      </w:pPr>
      <w:r>
        <w:t xml:space="preserve">A credible explanation that higher G&amp;A is generating measurable returns.</w:t>
      </w:r>
    </w:p>
    <w:p>
      <w:pPr>
        <w:pStyle w:val="FirstParagraph"/>
      </w:pPr>
      <w:r>
        <w:rPr>
          <w:b/>
          <w:bCs/>
        </w:rPr>
        <w:t xml:space="preserve">What would concern investors</w:t>
      </w:r>
    </w:p>
    <w:p>
      <w:pPr>
        <w:pStyle w:val="Compact"/>
        <w:numPr>
          <w:ilvl w:val="0"/>
          <w:numId w:val="1005"/>
        </w:numPr>
      </w:pPr>
      <w:r>
        <w:t xml:space="preserve">Higher labor or supply costs combined with no corresponding improvement in treatment volumes or RPT.</w:t>
      </w:r>
    </w:p>
    <w:p>
      <w:pPr>
        <w:pStyle w:val="Compact"/>
        <w:numPr>
          <w:ilvl w:val="0"/>
          <w:numId w:val="1005"/>
        </w:numPr>
      </w:pPr>
      <w:r>
        <w:t xml:space="preserve">Incremental technology spending with no time frame or evidence of operational benefits.</w:t>
      </w:r>
    </w:p>
    <w:bookmarkEnd w:id="15"/>
    <w:bookmarkStart w:id="16" w:name="Xe351ec162c9f02b23f7688288876c03a9999d5b"/>
    <w:p>
      <w:pPr>
        <w:pStyle w:val="Heading3"/>
      </w:pPr>
      <w:r>
        <w:t xml:space="preserve">4. Integrated Kidney Care and international: helpful upside, but not the headline</w:t>
      </w:r>
    </w:p>
    <w:p>
      <w:pPr>
        <w:pStyle w:val="FirstParagraph"/>
      </w:pPr>
      <w:r>
        <w:t xml:space="preserve">IKC was a</w:t>
      </w:r>
      <w:r>
        <w:t xml:space="preserve"> </w:t>
      </w:r>
      <w:r>
        <w:rPr>
          <w:b/>
          <w:bCs/>
        </w:rPr>
        <w:t xml:space="preserve">$19 million operating loss</w:t>
      </w:r>
      <w:r>
        <w:t xml:space="preserve"> </w:t>
      </w:r>
      <w:r>
        <w:t xml:space="preserve">in 1Q26, versus a</w:t>
      </w:r>
      <w:r>
        <w:t xml:space="preserve"> </w:t>
      </w:r>
      <m:oMath>
        <m:r>
          <m:t>46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p</m:t>
        </m:r>
        <m:r>
          <m:t>r</m:t>
        </m:r>
        <m:r>
          <m:t>o</m:t>
        </m:r>
        <m:r>
          <m:t>f</m:t>
        </m:r>
        <m:r>
          <m:t>i</m:t>
        </m:r>
        <m:r>
          <m:t>t</m:t>
        </m:r>
        <m:r>
          <m:t>i</m:t>
        </m:r>
        <m:r>
          <m:t>n</m:t>
        </m:r>
        <m:r>
          <m:t>4</m:t>
        </m:r>
        <m:r>
          <m:t>Q</m:t>
        </m:r>
        <m:r>
          <m:t>25</m:t>
        </m:r>
        <m:r>
          <m:rPr>
            <m:sty m:val="p"/>
          </m:rPr>
          <m:t>,</m:t>
        </m:r>
        <m:r>
          <m:t>r</m:t>
        </m:r>
        <m:r>
          <m:t>e</m:t>
        </m:r>
        <m:r>
          <m:t>f</m:t>
        </m:r>
        <m:r>
          <m:t>l</m:t>
        </m:r>
        <m:r>
          <m:t>e</m:t>
        </m:r>
        <m:r>
          <m:t>c</m:t>
        </m:r>
        <m:r>
          <m:t>t</m:t>
        </m:r>
        <m:r>
          <m:t>i</m:t>
        </m:r>
        <m:r>
          <m:t>n</m:t>
        </m:r>
        <m:r>
          <m:t>g</m:t>
        </m:r>
        <m:r>
          <m:t>l</m:t>
        </m:r>
        <m:r>
          <m:t>o</m:t>
        </m:r>
        <m:r>
          <m:t>w</m:t>
        </m:r>
        <m:r>
          <m:t>e</m:t>
        </m:r>
        <m:r>
          <m:t>r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t>d</m:t>
        </m:r>
        <m:r>
          <m:t>s</m:t>
        </m:r>
        <m:r>
          <m:t>a</m:t>
        </m:r>
        <m:r>
          <m:t>v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n</m:t>
        </m:r>
        <m:r>
          <m:t>e</m:t>
        </m:r>
        <m:r>
          <m:t>v</m:t>
        </m:r>
        <m:r>
          <m:t>e</m:t>
        </m:r>
        <m:r>
          <m:t>r</m:t>
        </m:r>
        <m:r>
          <m:t>t</m:t>
        </m:r>
        <m:r>
          <m:t>h</m:t>
        </m:r>
        <m:r>
          <m:t>e</m:t>
        </m:r>
        <m:r>
          <m:t>l</m:t>
        </m:r>
        <m:r>
          <m:t>e</m:t>
        </m:r>
        <m:r>
          <m:t>s</m:t>
        </m:r>
        <m:r>
          <m:t>s</m:t>
        </m:r>
        <m:r>
          <m:t>e</m:t>
        </m:r>
        <m:r>
          <m:t>x</m:t>
        </m:r>
        <m:r>
          <m:t>p</m:t>
        </m:r>
        <m:r>
          <m:t>e</m:t>
        </m:r>
        <m:r>
          <m:t>c</m:t>
        </m:r>
        <m:r>
          <m:t>t</m:t>
        </m:r>
        <m:r>
          <m:t>s</m:t>
        </m:r>
        <m:r>
          <m:t>a</m:t>
        </m:r>
        <m:r>
          <m:t>m</m:t>
        </m:r>
        <m:r>
          <m:t>o</m:t>
        </m:r>
        <m:r>
          <m:t>r</m:t>
        </m:r>
        <m:r>
          <m:t>e</m:t>
        </m:r>
        <m:r>
          <m:t>Q</m:t>
        </m:r>
        <m:r>
          <m:t>4</m:t>
        </m:r>
        <m:r>
          <m:rPr>
            <m:sty m:val="p"/>
          </m:rPr>
          <m:t>−</m:t>
        </m:r>
        <m:r>
          <m:t>w</m:t>
        </m:r>
        <m:r>
          <m:t>e</m:t>
        </m:r>
        <m:r>
          <m:t>i</m:t>
        </m:r>
        <m:r>
          <m:t>g</m:t>
        </m:r>
        <m:r>
          <m:t>h</m:t>
        </m:r>
        <m:r>
          <m:t>t</m:t>
        </m:r>
        <m:r>
          <m:t>e</m:t>
        </m:r>
        <m:r>
          <m:t>d</m:t>
        </m:r>
        <m:r>
          <m:t>I</m:t>
        </m:r>
        <m:r>
          <m:t>K</m:t>
        </m:r>
        <m:r>
          <m:t>C</m:t>
        </m:r>
        <m:r>
          <m:t>c</m:t>
        </m:r>
        <m:r>
          <m:t>o</m:t>
        </m:r>
        <m:r>
          <m:t>n</m:t>
        </m:r>
        <m:r>
          <m:t>t</m:t>
        </m:r>
        <m:r>
          <m:t>r</m:t>
        </m:r>
        <m:r>
          <m:t>i</m:t>
        </m:r>
        <m:r>
          <m:t>b</m:t>
        </m:r>
        <m:r>
          <m:t>u</m:t>
        </m:r>
        <m:r>
          <m:t>t</m:t>
        </m:r>
        <m:r>
          <m:t>i</m:t>
        </m:r>
        <m:r>
          <m:t>o</m:t>
        </m:r>
        <m:r>
          <m:t>n</m:t>
        </m:r>
        <m:r>
          <m:t>t</m:t>
        </m:r>
        <m:r>
          <m:t>h</m:t>
        </m:r>
        <m:r>
          <m:t>i</m:t>
        </m:r>
        <m:r>
          <m:t>s</m:t>
        </m:r>
        <m:r>
          <m:t>y</m:t>
        </m:r>
        <m:r>
          <m:t>e</m:t>
        </m:r>
        <m:r>
          <m:t>a</m:t>
        </m:r>
        <m:r>
          <m:t>r</m:t>
        </m:r>
        <m:r>
          <m:rPr>
            <m:sty m:val="p"/>
          </m:rPr>
          <m:t>.</m:t>
        </m:r>
        <m:r>
          <m:t>A</m:t>
        </m:r>
        <m:r>
          <m:t>s</m:t>
        </m:r>
        <m:r>
          <m:t>o</m:t>
        </m:r>
        <m:r>
          <m:t>f</m:t>
        </m:r>
        <m:r>
          <m:t>M</m:t>
        </m:r>
        <m:r>
          <m:t>a</m:t>
        </m:r>
        <m:r>
          <m:t>r</m:t>
        </m:r>
        <m:r>
          <m:t>c</m:t>
        </m:r>
        <m:r>
          <m:t>h</m:t>
        </m:r>
        <m:r>
          <m:t>31</m:t>
        </m:r>
        <m:r>
          <m:rPr>
            <m:sty m:val="p"/>
          </m:rPr>
          <m:t>,</m:t>
        </m:r>
        <m:r>
          <m:t>i</m:t>
        </m:r>
        <m:r>
          <m:t>t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d</m:t>
        </m:r>
        <m:r>
          <m:t>a</m:t>
        </m:r>
        <m:r>
          <m:t>b</m:t>
        </m:r>
        <m:r>
          <m:t>o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62</m:t>
        </m:r>
        <m:r>
          <m:rPr>
            <m:sty m:val="p"/>
          </m:rPr>
          <m:t>,</m:t>
        </m:r>
        <m:r>
          <m:t>600</m:t>
        </m:r>
        <m:r>
          <m:t>r</m:t>
        </m:r>
        <m:r>
          <m:t>i</m:t>
        </m:r>
        <m:r>
          <m:t>s</m:t>
        </m:r>
        <m:r>
          <m:t>k</m:t>
        </m:r>
        <m:r>
          <m:rPr>
            <m:sty m:val="p"/>
          </m:rPr>
          <m:t>−</m:t>
        </m:r>
        <m:r>
          <m:t>b</m:t>
        </m:r>
        <m:r>
          <m:t>a</m:t>
        </m:r>
        <m:r>
          <m:t>s</m:t>
        </m:r>
        <m:r>
          <m:t>e</m:t>
        </m:r>
        <m:r>
          <m:t>d</m:t>
        </m:r>
        <m:r>
          <m:t>I</m:t>
        </m:r>
        <m:r>
          <m:t>K</m:t>
        </m:r>
        <m:r>
          <m:t>C</m:t>
        </m:r>
        <m:r>
          <m:t>p</m:t>
        </m:r>
        <m:r>
          <m:t>a</m:t>
        </m:r>
        <m:r>
          <m:t>t</m:t>
        </m:r>
        <m:r>
          <m:t>i</m:t>
        </m:r>
        <m:r>
          <m:t>e</m:t>
        </m:r>
        <m:r>
          <m:t>n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e</m:t>
        </m:r>
        <m:r>
          <m:t>p</m:t>
        </m:r>
        <m:r>
          <m:t>r</m:t>
        </m:r>
        <m:r>
          <m:t>e</m:t>
        </m:r>
        <m:r>
          <m:t>s</m:t>
        </m:r>
        <m:r>
          <m:t>e</m:t>
        </m:r>
        <m:r>
          <m:t>n</m:t>
        </m:r>
        <m:r>
          <m:t>t</m:t>
        </m:r>
        <m:r>
          <m:t>i</m:t>
        </m:r>
        <m:r>
          <m:t>n</m:t>
        </m:r>
        <m:r>
          <m:t>g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5.4 billion** of annualized medical spend. 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t xml:space="preserve">International generated</w:t>
      </w:r>
      <w:r>
        <w:t xml:space="preserve"> </w:t>
      </w:r>
      <w:r>
        <w:rPr>
          <w:b/>
          <w:bCs/>
        </w:rPr>
        <w:t xml:space="preserve">$30 million</w:t>
      </w:r>
      <w:r>
        <w:t xml:space="preserve"> </w:t>
      </w:r>
      <w:r>
        <w:t xml:space="preserve">of operating income in 1Q. It remains a meaningful contributor to the longer-term operating-income growth model, although quarterly results can be noisy due to reimbursements, collections, FX, and country-level factors. 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Q2 focus:</w:t>
      </w:r>
      <w:r>
        <w:t xml:space="preserve"> </w:t>
      </w:r>
      <w:r>
        <w:t xml:space="preserve">Investors should want confirmation that both businesses remain on track to contribute to full-year operating-income growth—not necessarily a large quarterly upside surprise.</w:t>
      </w:r>
    </w:p>
    <w:bookmarkEnd w:id="16"/>
    <w:bookmarkStart w:id="17" w:name="X57ee4df2e6ea78499e65445a25e50d34df9405c"/>
    <w:p>
      <w:pPr>
        <w:pStyle w:val="Heading3"/>
      </w:pPr>
      <w:r>
        <w:t xml:space="preserve">5. Guidance, free cash flow, and repurchases will determine the reaction</w:t>
      </w:r>
    </w:p>
    <w:p>
      <w:pPr>
        <w:pStyle w:val="FirstParagraph"/>
      </w:pPr>
      <w:r>
        <w:t xml:space="preserve">DaVita raised 2026 guidance after 1Q to: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Range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operating income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2.15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2.25B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14.10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15.20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1.00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1.25B</w:t>
            </w:r>
          </w:p>
        </w:tc>
      </w:tr>
    </w:tbl>
    <w:p>
      <w:pPr>
        <w:pStyle w:val="BodyText"/>
      </w:pPr>
      <w:r>
        <w:t xml:space="preserve">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t xml:space="preserve">The most important earnings-call question:</w:t>
      </w:r>
      <w:r>
        <w:t xml:space="preserve"> </w:t>
      </w:r>
      <w:r>
        <w:rPr>
          <w:b/>
          <w:bCs/>
        </w:rPr>
        <w:t xml:space="preserve">Does management maintain, tighten, or raise this outlook?</w:t>
      </w:r>
    </w:p>
    <w:p>
      <w:pPr>
        <w:pStyle w:val="BodyText"/>
      </w:pPr>
      <w:r>
        <w:t xml:space="preserve">A reiteration is likely adequate only if the company can demonstrate:</w:t>
      </w:r>
    </w:p>
    <w:p>
      <w:pPr>
        <w:pStyle w:val="Compact"/>
        <w:numPr>
          <w:ilvl w:val="0"/>
          <w:numId w:val="1006"/>
        </w:numPr>
      </w:pPr>
      <w:r>
        <w:t xml:space="preserve">volume trending toward the upper half of its revised range;</w:t>
      </w:r>
    </w:p>
    <w:p>
      <w:pPr>
        <w:pStyle w:val="Compact"/>
        <w:numPr>
          <w:ilvl w:val="0"/>
          <w:numId w:val="1006"/>
        </w:numPr>
      </w:pPr>
      <w:r>
        <w:t xml:space="preserve">sustained productivity;</w:t>
      </w:r>
    </w:p>
    <w:p>
      <w:pPr>
        <w:pStyle w:val="Compact"/>
        <w:numPr>
          <w:ilvl w:val="0"/>
          <w:numId w:val="1006"/>
        </w:numPr>
      </w:pPr>
      <w:r>
        <w:t xml:space="preserve">no deterioration in ACA/commercial-mix assumptions; and</w:t>
      </w:r>
    </w:p>
    <w:p>
      <w:pPr>
        <w:pStyle w:val="Compact"/>
        <w:numPr>
          <w:ilvl w:val="0"/>
          <w:numId w:val="1006"/>
        </w:numPr>
      </w:pPr>
      <w:r>
        <w:t xml:space="preserve">free-cash-flow conversion that supports continued buybacks.</w:t>
      </w:r>
    </w:p>
    <w:p>
      <w:pPr>
        <w:pStyle w:val="FirstParagraph"/>
      </w:pPr>
      <w:r>
        <w:t xml:space="preserve">Capital allocation is an important part of the equity story. DaVita repurchased</w:t>
      </w:r>
      <w:r>
        <w:t xml:space="preserve"> </w:t>
      </w:r>
      <w:r>
        <w:rPr>
          <w:b/>
          <w:bCs/>
        </w:rPr>
        <w:t xml:space="preserve">3.0 million shares for $403 million</w:t>
      </w:r>
      <w:r>
        <w:t xml:space="preserve"> </w:t>
      </w:r>
      <w:r>
        <w:t xml:space="preserve">in 1Q and another</w:t>
      </w:r>
      <w:r>
        <w:t xml:space="preserve"> </w:t>
      </w:r>
      <w:r>
        <w:rPr>
          <w:b/>
          <w:bCs/>
        </w:rPr>
        <w:t xml:space="preserve">2.0 million shares for</w:t>
      </w:r>
      <w:r>
        <w:rPr>
          <w:b/>
          <w:bCs/>
        </w:rPr>
        <w:t xml:space="preserve"> </w:t>
      </w:r>
      <m:oMath>
        <m:r>
          <m:t>302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M</m:t>
        </m:r>
        <m:r>
          <m:t>a</m:t>
        </m:r>
        <m:r>
          <m:t>y</m:t>
        </m:r>
        <m:r>
          <m:t>5</m:t>
        </m:r>
        <m:r>
          <m:rPr>
            <m:sty m:val="p"/>
          </m:rPr>
          <m:t>.</m:t>
        </m:r>
        <m:r>
          <m:t>H</m:t>
        </m:r>
        <m:r>
          <m:t>o</m:t>
        </m:r>
        <m:r>
          <m:t>w</m:t>
        </m:r>
        <m:r>
          <m:t>e</m:t>
        </m:r>
        <m:r>
          <m:t>v</m:t>
        </m:r>
        <m:r>
          <m:t>e</m:t>
        </m:r>
        <m:r>
          <m:t>r</m:t>
        </m:r>
        <m:r>
          <m:rPr>
            <m:sty m:val="p"/>
          </m:rPr>
          <m:t>,</m:t>
        </m:r>
        <m:r>
          <m:t>t</m:t>
        </m:r>
        <m:r>
          <m:t>h</m:t>
        </m:r>
        <m:r>
          <m:t>i</m:t>
        </m:r>
        <m:r>
          <m:t>s</m:t>
        </m:r>
        <m:r>
          <m:t>i</m:t>
        </m:r>
        <m:r>
          <m:t>s</m:t>
        </m:r>
        <m:r>
          <m:t>o</m:t>
        </m:r>
        <m:r>
          <m:t>c</m:t>
        </m:r>
        <m:r>
          <m:t>c</m:t>
        </m:r>
        <m:r>
          <m:t>u</m:t>
        </m:r>
        <m:r>
          <m:t>r</m:t>
        </m:r>
        <m:r>
          <m:t>r</m:t>
        </m:r>
        <m:r>
          <m:t>i</m:t>
        </m:r>
        <m:r>
          <m:t>n</m:t>
        </m:r>
        <m:r>
          <m:t>g</m:t>
        </m:r>
        <m:r>
          <m:t>a</m:t>
        </m:r>
        <m:r>
          <m:t>l</m:t>
        </m:r>
        <m:r>
          <m:t>o</m:t>
        </m:r>
        <m:r>
          <m:t>n</m:t>
        </m:r>
        <m:r>
          <m:t>g</m:t>
        </m:r>
        <m:r>
          <m:t>s</m:t>
        </m:r>
        <m:r>
          <m:t>i</m:t>
        </m:r>
        <m:r>
          <m:t>d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10.7 billion of total debt</w:t>
      </w:r>
      <w:r>
        <w:t xml:space="preserve">,</w:t>
      </w:r>
      <w:r>
        <w:t xml:space="preserve"> </w:t>
      </w:r>
      <w:r>
        <w:rPr>
          <w:b/>
          <w:bCs/>
        </w:rPr>
        <w:t xml:space="preserve">$10.1 billion of net debt</w:t>
      </w:r>
      <w:r>
        <w:t xml:space="preserve">, and a</w:t>
      </w:r>
      <w:r>
        <w:t xml:space="preserve"> </w:t>
      </w:r>
      <w:r>
        <w:rPr>
          <w:b/>
          <w:bCs/>
        </w:rPr>
        <w:t xml:space="preserve">3.34x</w:t>
      </w:r>
      <w:r>
        <w:t xml:space="preserve"> </w:t>
      </w:r>
      <w:r>
        <w:t xml:space="preserve">leverage ratio as of March 31. (</w:t>
      </w:r>
      <w:hyperlink r:id="rId10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t xml:space="preserve">That balance-sheet posture is manageable within the company’s stated framework, but it makes free cash flow and interest expense important watch items—particularly if rates remain elevated.</w:t>
      </w:r>
    </w:p>
    <w:bookmarkEnd w:id="17"/>
    <w:bookmarkEnd w:id="18"/>
    <w:bookmarkStart w:id="19" w:name="base-case-framing"/>
    <w:p>
      <w:pPr>
        <w:pStyle w:val="Heading2"/>
      </w:pPr>
      <w:r>
        <w:t xml:space="preserve">Base-case framing</w:t>
      </w:r>
    </w:p>
    <w:p>
      <w:pPr>
        <w:pStyle w:val="FirstParagraph"/>
      </w:pPr>
      <w:r>
        <w:t xml:space="preserve">The year-ago Q2 comparison was solid: 2Q25 revenue was</w:t>
      </w:r>
      <w:r>
        <w:t xml:space="preserve"> </w:t>
      </w:r>
      <m:oMath>
        <m:r>
          <m:t>3.38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t>i</m:t>
        </m:r>
        <m:r>
          <m:t>n</m:t>
        </m:r>
        <m:r>
          <m:t>c</m:t>
        </m:r>
        <m:r>
          <m:t>o</m:t>
        </m:r>
        <m:r>
          <m:t>m</m:t>
        </m:r>
        <m:r>
          <m:t>e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551 million</w:t>
      </w:r>
      <w:r>
        <w:t xml:space="preserve">, adjusted EPS was</w:t>
      </w:r>
      <w:r>
        <w:t xml:space="preserve"> </w:t>
      </w:r>
      <m:oMath>
        <m:r>
          <m:t>2.95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f</m:t>
        </m:r>
        <m:r>
          <m:t>r</m:t>
        </m:r>
        <m:r>
          <m:t>e</m:t>
        </m:r>
        <m:r>
          <m:t>e</m:t>
        </m:r>
        <m:r>
          <m:t>c</m:t>
        </m:r>
        <m:r>
          <m:t>a</m:t>
        </m:r>
        <m:r>
          <m:t>s</m:t>
        </m:r>
        <m:r>
          <m:t>h</m:t>
        </m:r>
        <m:r>
          <m:t>f</m:t>
        </m:r>
        <m:r>
          <m:t>l</m:t>
        </m:r>
        <m:r>
          <m:t>o</m:t>
        </m:r>
        <m:r>
          <m:t>w</m:t>
        </m:r>
        <m:r>
          <m:t>w</m:t>
        </m:r>
        <m:r>
          <m:t>a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157 million</w:t>
      </w:r>
      <w:r>
        <w:t xml:space="preserve">. That quarter included roughly</w:t>
      </w:r>
      <w:r>
        <w:t xml:space="preserve"> </w:t>
      </w:r>
      <w:r>
        <w:rPr>
          <w:b/>
          <w:bCs/>
        </w:rPr>
        <w:t xml:space="preserve">$13.5 million</w:t>
      </w:r>
      <w:r>
        <w:t xml:space="preserve"> </w:t>
      </w:r>
      <w:r>
        <w:t xml:space="preserve">of cybersecurity-related charges, so investors should be careful with simple reported-year-over-year comparisons. (</w:t>
      </w:r>
      <w:hyperlink r:id="rId13">
        <w:r>
          <w:rPr>
            <w:rStyle w:val="Hyperlink"/>
          </w:rPr>
          <w:t xml:space="preserve">investors.davita.com</w:t>
        </w:r>
      </w:hyperlink>
      <w:r>
        <w:t xml:space="preserve">)</w:t>
      </w:r>
    </w:p>
    <w:p>
      <w:pPr>
        <w:pStyle w:val="BodyText"/>
      </w:pPr>
      <w:r>
        <w:rPr>
          <w:b/>
          <w:bCs/>
        </w:rPr>
        <w:t xml:space="preserve">A favorable Q2 setup would be:</w:t>
      </w:r>
    </w:p>
    <w:p>
      <w:pPr>
        <w:pStyle w:val="Compact"/>
        <w:numPr>
          <w:ilvl w:val="0"/>
          <w:numId w:val="1007"/>
        </w:numPr>
      </w:pPr>
      <w:r>
        <w:t xml:space="preserve">Positive normalized treatment growth, visibly stronger than 1Q;</w:t>
      </w:r>
    </w:p>
    <w:p>
      <w:pPr>
        <w:pStyle w:val="Compact"/>
        <w:numPr>
          <w:ilvl w:val="0"/>
          <w:numId w:val="1007"/>
        </w:numPr>
      </w:pPr>
      <w:r>
        <w:t xml:space="preserve">Seasonal RPT improvement without a concerning commercial-mix deterioration;</w:t>
      </w:r>
    </w:p>
    <w:p>
      <w:pPr>
        <w:pStyle w:val="Compact"/>
        <w:numPr>
          <w:ilvl w:val="0"/>
          <w:numId w:val="1007"/>
        </w:numPr>
      </w:pPr>
      <w:r>
        <w:t xml:space="preserve">Continued favorable patient-care-cost execution;</w:t>
      </w:r>
    </w:p>
    <w:p>
      <w:pPr>
        <w:pStyle w:val="Compact"/>
        <w:numPr>
          <w:ilvl w:val="0"/>
          <w:numId w:val="1007"/>
        </w:numPr>
      </w:pPr>
      <w:r>
        <w:t xml:space="preserve">A maintained or improved 2026 operating-income/EPS outlook;</w:t>
      </w:r>
    </w:p>
    <w:p>
      <w:pPr>
        <w:pStyle w:val="Compact"/>
        <w:numPr>
          <w:ilvl w:val="0"/>
          <w:numId w:val="1007"/>
        </w:numPr>
      </w:pPr>
      <w:r>
        <w:t xml:space="preserve">Strong repurchases and free cash flow without leverage drifting beyond the preferred range.</w:t>
      </w:r>
    </w:p>
    <w:p>
      <w:pPr>
        <w:pStyle w:val="FirstParagraph"/>
      </w:pPr>
      <w:r>
        <w:rPr>
          <w:b/>
          <w:bCs/>
        </w:rPr>
        <w:t xml:space="preserve">A disappointing setup would be:</w:t>
      </w:r>
    </w:p>
    <w:p>
      <w:pPr>
        <w:pStyle w:val="Compact"/>
        <w:numPr>
          <w:ilvl w:val="0"/>
          <w:numId w:val="1008"/>
        </w:numPr>
      </w:pPr>
      <w:r>
        <w:t xml:space="preserve">Transfers from clinic closures coming through more slowly than expected;</w:t>
      </w:r>
    </w:p>
    <w:p>
      <w:pPr>
        <w:pStyle w:val="Compact"/>
        <w:numPr>
          <w:ilvl w:val="0"/>
          <w:numId w:val="1008"/>
        </w:numPr>
      </w:pPr>
      <w:r>
        <w:t xml:space="preserve">Volume better only because of acquisitions or calendar, rather than organic trends;</w:t>
      </w:r>
    </w:p>
    <w:p>
      <w:pPr>
        <w:pStyle w:val="Compact"/>
        <w:numPr>
          <w:ilvl w:val="0"/>
          <w:numId w:val="1008"/>
        </w:numPr>
      </w:pPr>
      <w:r>
        <w:t xml:space="preserve">ACA/mix pressure arriving earlier or harder than embedded in the guide;</w:t>
      </w:r>
    </w:p>
    <w:p>
      <w:pPr>
        <w:pStyle w:val="Compact"/>
        <w:numPr>
          <w:ilvl w:val="0"/>
          <w:numId w:val="1008"/>
        </w:numPr>
      </w:pPr>
      <w:r>
        <w:t xml:space="preserve">Cost inflation offsetting productivity gains;</w:t>
      </w:r>
    </w:p>
    <w:p>
      <w:pPr>
        <w:pStyle w:val="Compact"/>
        <w:numPr>
          <w:ilvl w:val="0"/>
          <w:numId w:val="1008"/>
        </w:numPr>
      </w:pPr>
      <w:r>
        <w:t xml:space="preserve">A lower free-cash-flow outlook or softer buyback cadence.</w: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rPr>
          <w:b/>
          <w:bCs/>
        </w:rPr>
        <w:t xml:space="preserve">The cleanest bull case is a Q2 that proves the 1Q upgrade was not a one-off:</w:t>
      </w:r>
      <w:r>
        <w:t xml:space="preserve"> </w:t>
      </w:r>
      <w:r>
        <w:t xml:space="preserve">better volumes, solid pricing/cost execution, and unchanged-to-higher full-year guidance. With the stock already reflecting a substantially improved outlook, the market is likely to reward confirmation of a durable volume recovery and punish any sign that the ACA/commercial-mix risk is merely being pushed into the back half.</w:t>
      </w:r>
    </w:p>
    <w:p>
      <w:pPr>
        <w:pStyle w:val="BodyText"/>
      </w:pPr>
      <w:r>
        <w:rPr>
          <w:i/>
          <w:iCs/>
        </w:rPr>
        <w:t xml:space="preserve">This preview is for informational purposes only and is not investment advice.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https://investors.davita.com/2025-08-05-davita-inc-2nd-quarter-2025-results/" TargetMode="External" /><Relationship Type="http://schemas.openxmlformats.org/officeDocument/2006/relationships/hyperlink" Id="rId10" Target="https://investors.davita.com/2026-05-05-davita-inc-1st-quarter-2026-results/" TargetMode="External" /><Relationship Type="http://schemas.openxmlformats.org/officeDocument/2006/relationships/hyperlink" Id="rId9" Target="https://investors.davita.com/2026-07-21-davita-inc-schedules-2nd-quarter-2026-investor-conference-call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investors.davita.com/2025-08-05-davita-inc-2nd-quarter-2025-results/" TargetMode="External" /><Relationship Type="http://schemas.openxmlformats.org/officeDocument/2006/relationships/hyperlink" Id="rId10" Target="https://investors.davita.com/2026-05-05-davita-inc-1st-quarter-2026-results/" TargetMode="External" /><Relationship Type="http://schemas.openxmlformats.org/officeDocument/2006/relationships/hyperlink" Id="rId9" Target="https://investors.davita.com/2026-07-21-davita-inc-schedules-2nd-quarter-2026-investor-conference-call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2026-08-04T01:43:40Z</dcterms:created>
  <dcterms:modified xsi:type="dcterms:W3CDTF">2026-08-04T01:43:40Z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