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va-earnings-predictions--2026-08-04"/>
    <w:p>
      <w:pPr>
        <w:pStyle w:val="Heading1"/>
      </w:pPr>
      <w:r>
        <w:t xml:space="preserve">DVA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per Treatment ($)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~$411 vs. cons $414.21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Treatment Volume Growth (YoY %)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~+0.55% vs. cons +0.40%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Operating Income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~$575M vs. cons $580.5M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Adj. OI (FY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mid ~$2,200M vs. cons $2,244M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Adj. EPS (FY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mid ~$14.65 vs. cons $14.88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Volume Growth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+25-50bps vs. cons +0.40%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RPT Growth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1-2%, cautious tone vs. cons ~+0.8% implied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-8.5%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-10.0% (FADE)</w:t>
            </w:r>
          </w:p>
        </w:tc>
        <w:tc>
          <w:tcPr/>
          <w:p>
            <w:pPr>
              <w:pStyle w:val="Compact"/>
            </w:pPr>
            <w:r>
              <w:t xml:space="preserve">FADE — sell-side estimate cuts on implied H2 OI reduction (~$39M below consensus H2) drive continued drift; no squeeze cushion (short interest at multi-year lows); multiple re-rating pauses after two consecutive Archetype A prints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2026-08-07T02:02:48Z</dcterms:created>
  <dcterms:modified xsi:type="dcterms:W3CDTF">2026-08-07T02:02:48Z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