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vn-earnings-predictions--2026-08-04"/>
    <w:p>
      <w:pPr>
        <w:pStyle w:val="Heading1"/>
      </w:pPr>
      <w:r>
        <w:t xml:space="preserve">DVN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1.42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1.30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Free cash flow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1.3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1.15B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production (first combined quarter, ~55 days of Coterra)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~1.16 MMBoe/d vs. cons ~1.15 MMBoe/d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production guide (vs June combined outlook)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~1.38 MMBoe/d vs. cons ~1.38 MMBoe/d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capital budget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4.9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4.9B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Merger synergy target (pull-forward/raise)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~$1.1-1.2B vs. cons $1.0B (annual run-rate by YE2027)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Shareholder-return framework / buyback pace under new authorization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8.0</m:t>
              </m:r>
              <m:r>
                <m:t>B</m:t>
              </m:r>
              <m:r>
                <m:t>b</m:t>
              </m:r>
              <m:r>
                <m:t>u</m:t>
              </m:r>
              <m:r>
                <m:t>y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rPr>
                  <m:sty m:val="p"/>
                </m:rPr>
                <m:t>+</m:t>
              </m:r>
              <m:r>
                <m:t> </m:t>
              </m:r>
              <m:r>
                <m:t>70</m:t>
              </m:r>
            </m:oMath>
            <w:r>
              <w:t xml:space="preserve">8.0B auth at ~50-60% payout (2026)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Portfolio review / Marcellus &amp; non-core divestitures (TOMS/Kimmeridge pressure)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0</m:t>
              </m:r>
              <m:r>
                <m:t>a</m:t>
              </m:r>
              <m:r>
                <m:t>n</m:t>
              </m:r>
              <m:r>
                <m:t>n</m:t>
              </m:r>
              <m:r>
                <m:t>o</m:t>
              </m:r>
              <m:r>
                <m:t>u</m:t>
              </m:r>
              <m:r>
                <m:t>n</m:t>
              </m:r>
              <m:r>
                <m:t>c</m:t>
              </m:r>
              <m:r>
                <m:t>e</m:t>
              </m:r>
              <m:r>
                <m:t>d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2B+ expected proceeds (2026-27)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+0.3% (FADE)</w:t>
            </w:r>
          </w:p>
        </w:tc>
        <w:tc>
          <w:tcPr/>
          <w:p>
            <w:pPr>
              <w:pStyle w:val="Compact"/>
            </w:pPr>
            <w:r>
              <w:t xml:space="preserve">Headline beat is largely discounted after CVX/XOM/FANG blowouts and is backward-looking on peak Iran-war oil realizations; with oil rolling over ~5% on US-Iran talk hopes, out-quarter deck assumptions and estimates get trimmed even on a beat. Absent a concrete divestiture/portfolio decision, the activist overhang (TOMS/Kimmeridge) and merger-accounting noise cap follow-through, so an initial synergy-driven pop fades back toward flat.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2026-08-04T02:03:13Z</dcterms:created>
  <dcterms:modified xsi:type="dcterms:W3CDTF">2026-08-04T02:03:13Z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