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DVN (Devon Energy) before writing the preview. Let me start by gathering recent filings, earnings materials, news, and price data in parallel.Let me read the Q1 2026 earnings release and transcript, and gather recent energy sector news.Key context is emerging: DVN closed its all-stock merger with Coterra around May 7, 2026, so this is the first quarter as the combined company — amid an oil-price spike driven by a war in Iran. Let me read the Q1 call transcript and pull wider DVN-specific news since the merger.Let me get the combined-company guidance (provided mid-June) and the merger completion details. I'll search news and read the merger 8-K.Let me find the mid-June combined guidance and check for analyst consensus via web search.Let me pull the specific combined guidance figures and the report timing/reaction context.Let me confirm the updated shareholder-return framework (dividend/buyback) and check for any recent sell-side actions.I now have what I need. Here's the preview.</w:t>
      </w:r>
    </w:p>
    <w:p>
      <w:r>
        <w:pict>
          <v:rect style="width:0;height:1.5pt" o:hralign="center" o:hrstd="t" o:hr="t"/>
        </w:pict>
      </w:r>
    </w:p>
    <w:bookmarkStart w:id="17" w:name="X8937b713334f2f91a64c9fd52c680fe2d9b6054"/>
    <w:p>
      <w:pPr>
        <w:pStyle w:val="Heading1"/>
      </w:pPr>
      <w:r>
        <w:t xml:space="preserve">Devon Energy (DVN) — Q2 2026 Earnings Preview</w:t>
      </w:r>
    </w:p>
    <w:p>
      <w:pPr>
        <w:pStyle w:val="FirstParagraph"/>
      </w:pPr>
      <w:r>
        <w:rPr>
          <w:b/>
          <w:bCs/>
        </w:rPr>
        <w:t xml:space="preserve">Report date:</w:t>
      </w:r>
      <w:r>
        <w:t xml:space="preserve"> </w:t>
      </w:r>
      <w:r>
        <w:t xml:space="preserve">After market close, Tuesday, Aug 4, 2026 · Call: Wednesday morning ·</w:t>
      </w:r>
      <w:r>
        <w:t xml:space="preserve"> </w:t>
      </w:r>
      <w:r>
        <w:rPr>
          <w:b/>
          <w:bCs/>
        </w:rPr>
        <w:t xml:space="preserve">Last price (8/3):</w:t>
      </w:r>
      <w:r>
        <w:t xml:space="preserve"> </w:t>
      </w:r>
      <w:r>
        <w:t xml:space="preserve">~$44.58 ·</w:t>
      </w:r>
      <w:r>
        <w:t xml:space="preserve"> </w:t>
      </w:r>
      <w:r>
        <w:rPr>
          <w:b/>
          <w:bCs/>
        </w:rPr>
        <w:t xml:space="preserve">YTD:</w:t>
      </w:r>
      <w:r>
        <w:t xml:space="preserve"> </w:t>
      </w:r>
      <w:r>
        <w:t xml:space="preserve">~+18%</w:t>
      </w:r>
    </w:p>
    <w:bookmarkStart w:id="9" w:name="X5ad81fe1f1948691d8db146dc687d82599672e4"/>
    <w:p>
      <w:pPr>
        <w:pStyle w:val="Heading2"/>
      </w:pPr>
      <w:r>
        <w:t xml:space="preserve">The one thing that makes this print different</w:t>
      </w:r>
    </w:p>
    <w:p>
      <w:pPr>
        <w:pStyle w:val="FirstParagraph"/>
      </w:pPr>
      <w:r>
        <w:t xml:space="preserve">This is</w:t>
      </w:r>
      <w:r>
        <w:t xml:space="preserve"> </w:t>
      </w:r>
      <w:r>
        <w:rPr>
          <w:b/>
          <w:bCs/>
        </w:rPr>
        <w:t xml:space="preserve">Devon's first earnings report as the merged Devon + Coterra company</w:t>
      </w:r>
      <w:r>
        <w:t xml:space="preserve">. The all-stock "merger of equals" closed on</w:t>
      </w:r>
      <w:r>
        <w:t xml:space="preserve"> </w:t>
      </w:r>
      <w:r>
        <w:rPr>
          <w:b/>
          <w:bCs/>
        </w:rPr>
        <w:t xml:space="preserve">May 7, 2026</w:t>
      </w:r>
      <w:r>
        <w:t xml:space="preserve">, with legacy Devon holders owning ~54% and legacy Coterra holders ~46%. The combined entity keeps the Devon name and DVN ticker but is now</w:t>
      </w:r>
      <w:r>
        <w:t xml:space="preserve"> </w:t>
      </w:r>
      <w:r>
        <w:rPr>
          <w:b/>
          <w:bCs/>
        </w:rPr>
        <w:t xml:space="preserve">headquartered in Houston</w:t>
      </w:r>
      <w:r>
        <w:t xml:space="preserve">, run by CEO</w:t>
      </w:r>
      <w:r>
        <w:t xml:space="preserve"> </w:t>
      </w:r>
      <w:r>
        <w:rPr>
          <w:b/>
          <w:bCs/>
        </w:rPr>
        <w:t xml:space="preserve">Clay Gaspar</w:t>
      </w:r>
      <w:r>
        <w:t xml:space="preserve"> </w:t>
      </w:r>
      <w:r>
        <w:t xml:space="preserve">with a</w:t>
      </w:r>
      <w:r>
        <w:t xml:space="preserve"> </w:t>
      </w:r>
      <w:r>
        <w:rPr>
          <w:b/>
          <w:bCs/>
        </w:rPr>
        <w:t xml:space="preserve">new CFO, Shannon Young (ex-Coterra)</w:t>
      </w:r>
      <w:r>
        <w:t xml:space="preserve">, and chaired on a non-executive basis by former Coterra CEO</w:t>
      </w:r>
      <w:r>
        <w:t xml:space="preserve"> </w:t>
      </w:r>
      <w:r>
        <w:rPr>
          <w:b/>
          <w:bCs/>
        </w:rPr>
        <w:t xml:space="preserve">Tom Jorden</w:t>
      </w:r>
      <w:r>
        <w:t xml:space="preserve">.</w:t>
      </w:r>
    </w:p>
    <w:p>
      <w:pPr>
        <w:pStyle w:val="BodyText"/>
      </w:pPr>
      <w:r>
        <w:t xml:space="preserve">Practical implication for the model:</w:t>
      </w:r>
      <w:r>
        <w:t xml:space="preserve"> </w:t>
      </w:r>
      <w:r>
        <w:rPr>
          <w:b/>
          <w:bCs/>
        </w:rPr>
        <w:t xml:space="preserve">Q2 results will be "dirty."</w:t>
      </w:r>
      <w:r>
        <w:t xml:space="preserve"> </w:t>
      </w:r>
      <w:r>
        <w:t xml:space="preserve">Coterra's assets only consolidate from May 7 (~55 days of the quarter), so reported volumes, capex and cash flow blend ~1 month of standalone Devon with ~2 months of the combined company. Do not read a clean sequential trend off the headline numbers — the guidance framework below is the better yardstick.</w:t>
      </w:r>
    </w:p>
    <w:bookmarkEnd w:id="9"/>
    <w:bookmarkStart w:id="10" w:name="what-the-street-expects"/>
    <w:p>
      <w:pPr>
        <w:pStyle w:val="Heading2"/>
      </w:pPr>
      <w:r>
        <w:t xml:space="preserve">What the Street expects</w:t>
      </w:r>
    </w:p>
    <w:p>
      <w:pPr>
        <w:pStyle w:val="Compact"/>
        <w:numPr>
          <w:ilvl w:val="0"/>
          <w:numId w:val="1001"/>
        </w:numPr>
      </w:pPr>
      <w:r>
        <w:t xml:space="preserve">Consensus EPS estimates cluster in the</w:t>
      </w:r>
      <w:r>
        <w:t xml:space="preserve"> </w:t>
      </w:r>
      <w:r>
        <w:rPr>
          <w:b/>
          <w:bCs/>
        </w:rPr>
        <w:t xml:space="preserve">~</w:t>
      </w:r>
      <m:oMath>
        <m:r>
          <m:t>1.30</m:t>
        </m:r>
        <m:r>
          <m:rPr>
            <m:sty m:val="p"/>
          </m:rPr>
          <m:t>–</m:t>
        </m:r>
      </m:oMath>
      <w:r>
        <w:rPr>
          <w:b/>
          <w:bCs/>
        </w:rPr>
        <w:t xml:space="preserve">1.40</w:t>
      </w:r>
      <w:r>
        <w:t xml:space="preserve"> </w:t>
      </w:r>
      <w:r>
        <w:t xml:space="preserve">range (Zacks ~</w:t>
      </w:r>
      <m:oMath>
        <m:r>
          <m:t>1.30</m:t>
        </m:r>
        <m:r>
          <m:t>o</m:t>
        </m:r>
        <m:r>
          <m:t>n</m:t>
        </m:r>
        <m:r>
          <m:t> </m:t>
        </m:r>
      </m:oMath>
      <w:r>
        <w:t xml:space="preserve">6.3B revenue), which would be up **~55–60% year-over-year** vs. $0.84 a year ago — reflecting both the Coterra volumes and a much stronger oil price deck.</w:t>
      </w:r>
    </w:p>
    <w:p>
      <w:pPr>
        <w:pStyle w:val="Compact"/>
        <w:numPr>
          <w:ilvl w:val="0"/>
          <w:numId w:val="1001"/>
        </w:numPr>
      </w:pPr>
      <w:r>
        <w:t xml:space="preserve">The sell side is broadly constructive: consensus rating is</w:t>
      </w:r>
      <w:r>
        <w:t xml:space="preserve"> </w:t>
      </w:r>
      <w:r>
        <w:rPr>
          <w:b/>
          <w:bCs/>
        </w:rPr>
        <w:t xml:space="preserve">Buy/Strong Buy</w:t>
      </w:r>
      <w:r>
        <w:t xml:space="preserve"> </w:t>
      </w:r>
      <w:r>
        <w:t xml:space="preserve">(roughly 24 Strong Buys of ~27 analysts), with price targets generally in the high-</w:t>
      </w:r>
      <m:oMath>
        <m:r>
          <m:t>50</m:t>
        </m:r>
        <m:r>
          <m:t>s</m:t>
        </m:r>
        <m:r>
          <m:t>t</m:t>
        </m:r>
        <m:r>
          <m:t>o</m:t>
        </m:r>
        <m:r>
          <m:t> </m:t>
        </m:r>
      </m:oMath>
      <w:r>
        <w:t xml:space="preserve">68 (Mizuho high). DVN has</w:t>
      </w:r>
      <w:r>
        <w:t xml:space="preserve"> </w:t>
      </w:r>
      <w:r>
        <w:rPr>
          <w:b/>
          <w:bCs/>
        </w:rPr>
        <w:t xml:space="preserve">beaten EPS estimates each of the last four quarters.</w:t>
      </w:r>
    </w:p>
    <w:p>
      <w:pPr>
        <w:pStyle w:val="Compact"/>
        <w:numPr>
          <w:ilvl w:val="0"/>
          <w:numId w:val="1001"/>
        </w:numPr>
      </w:pPr>
      <w:r>
        <w:t xml:space="preserve">Note the wide dispersion in estimates — a symptom of the merger accounting and the oil-price swing making modeling unusually hard this quarter.</w:t>
      </w:r>
    </w:p>
    <w:bookmarkEnd w:id="10"/>
    <w:bookmarkStart w:id="11" w:name="Xc6cd1299a2dc985f820819cd94277ea10f90319"/>
    <w:p>
      <w:pPr>
        <w:pStyle w:val="Heading2"/>
      </w:pPr>
      <w:r>
        <w:t xml:space="preserve">The benchmark that matters: the June combined guide</w:t>
      </w:r>
    </w:p>
    <w:p>
      <w:pPr>
        <w:pStyle w:val="FirstParagraph"/>
      </w:pPr>
      <w:r>
        <w:t xml:space="preserve">Because Devon withheld full-year guidance at Q1, the</w:t>
      </w:r>
      <w:r>
        <w:t xml:space="preserve"> </w:t>
      </w:r>
      <w:r>
        <w:rPr>
          <w:b/>
          <w:bCs/>
        </w:rPr>
        <w:t xml:space="preserve">updated combined outlook issued June 9</w:t>
      </w:r>
      <w:r>
        <w:t xml:space="preserve"> </w:t>
      </w:r>
      <w:r>
        <w:t xml:space="preserve">is the reference point Q2 will be measured against:</w:t>
      </w:r>
    </w:p>
    <w:p>
      <w:pPr>
        <w:pStyle w:val="Compact"/>
        <w:numPr>
          <w:ilvl w:val="0"/>
          <w:numId w:val="1002"/>
        </w:numPr>
      </w:pPr>
      <w:r>
        <w:rPr>
          <w:b/>
          <w:bCs/>
        </w:rPr>
        <w:t xml:space="preserve">Production:</w:t>
      </w:r>
      <w:r>
        <w:t xml:space="preserve"> </w:t>
      </w:r>
      <w:r>
        <w:t xml:space="preserve">~</w:t>
      </w:r>
      <w:r>
        <w:rPr>
          <w:b/>
          <w:bCs/>
        </w:rPr>
        <w:t xml:space="preserve">1.38 MMBoe/d</w:t>
      </w:r>
      <w:r>
        <w:t xml:space="preserve"> </w:t>
      </w:r>
      <w:r>
        <w:t xml:space="preserve">for 2026 (range ~1.36–1.41), with</w:t>
      </w:r>
      <w:r>
        <w:t xml:space="preserve"> </w:t>
      </w:r>
      <w:r>
        <w:rPr>
          <w:b/>
          <w:bCs/>
        </w:rPr>
        <w:t xml:space="preserve">oil of ~490–510 MBbl/d</w:t>
      </w:r>
    </w:p>
    <w:p>
      <w:pPr>
        <w:pStyle w:val="Compact"/>
        <w:numPr>
          <w:ilvl w:val="0"/>
          <w:numId w:val="1002"/>
        </w:numPr>
      </w:pPr>
      <w:r>
        <w:rPr>
          <w:b/>
          <w:bCs/>
        </w:rPr>
        <w:t xml:space="preserve">Capital:</w:t>
      </w:r>
      <w:r>
        <w:t xml:space="preserve"> </w:t>
      </w:r>
      <w:r>
        <w:t xml:space="preserve">~</w:t>
      </w:r>
      <w:r>
        <w:rPr>
          <w:b/>
          <w:bCs/>
        </w:rPr>
        <w:t xml:space="preserve">$4.9B</w:t>
      </w:r>
      <w:r>
        <w:t xml:space="preserve">, with</w:t>
      </w:r>
      <w:r>
        <w:t xml:space="preserve"> </w:t>
      </w:r>
      <w:r>
        <w:rPr>
          <w:b/>
          <w:bCs/>
        </w:rPr>
        <w:t xml:space="preserve">&gt;60% directed to the Permian/Delaware</w:t>
      </w:r>
      <w:r>
        <w:t xml:space="preserve">; activity of</w:t>
      </w:r>
      <w:r>
        <w:t xml:space="preserve"> </w:t>
      </w:r>
      <w:r>
        <w:rPr>
          <w:b/>
          <w:bCs/>
        </w:rPr>
        <w:t xml:space="preserve">31 rigs / 10 completion crews</w:t>
      </w:r>
    </w:p>
    <w:p>
      <w:pPr>
        <w:pStyle w:val="Compact"/>
        <w:numPr>
          <w:ilvl w:val="0"/>
          <w:numId w:val="1002"/>
        </w:numPr>
      </w:pPr>
      <w:r>
        <w:rPr>
          <w:b/>
          <w:bCs/>
        </w:rPr>
        <w:t xml:space="preserve">Synergies:</w:t>
      </w:r>
      <w:r>
        <w:t xml:space="preserve"> </w:t>
      </w:r>
      <w:r>
        <w:rPr>
          <w:b/>
          <w:bCs/>
        </w:rPr>
        <w:t xml:space="preserve">$1.0B annual pre-tax by year-end 2027</w:t>
      </w:r>
      <w:r>
        <w:t xml:space="preserve"> </w:t>
      </w:r>
      <w:r>
        <w:t xml:space="preserve">— Gaspar has repeatedly framed this as "the floor, not the ceiling" (156 discrete opportunities already identified pre-close)</w:t>
      </w:r>
    </w:p>
    <w:p>
      <w:pPr>
        <w:pStyle w:val="Compact"/>
        <w:numPr>
          <w:ilvl w:val="0"/>
          <w:numId w:val="1002"/>
        </w:numPr>
      </w:pPr>
      <w:r>
        <w:rPr>
          <w:b/>
          <w:bCs/>
        </w:rPr>
        <w:t xml:space="preserve">Returns:</w:t>
      </w:r>
      <w:r>
        <w:t xml:space="preserve"> </w:t>
      </w:r>
      <w:r>
        <w:t xml:space="preserve">targeting</w:t>
      </w:r>
      <w:r>
        <w:t xml:space="preserve"> </w:t>
      </w:r>
      <w:r>
        <w:rPr>
          <w:b/>
          <w:bCs/>
        </w:rPr>
        <w:t xml:space="preserve">up to 70% of FCF</w:t>
      </w:r>
      <w:r>
        <w:t xml:space="preserve"> </w:t>
      </w:r>
      <w:r>
        <w:t xml:space="preserve">back to holders via a</w:t>
      </w:r>
      <w:r>
        <w:t xml:space="preserve"> </w:t>
      </w:r>
      <m:oMath>
        <m:r>
          <m:t>0.32</m:t>
        </m:r>
        <m:r>
          <m:rPr>
            <m:sty m:val="p"/>
          </m:rPr>
          <m:t>/</m:t>
        </m:r>
        <m:r>
          <m:t>q</m:t>
        </m:r>
        <m:r>
          <m:t>u</m:t>
        </m:r>
        <m:r>
          <m:t>a</m:t>
        </m:r>
        <m:r>
          <m:t>r</m:t>
        </m:r>
        <m:r>
          <m:t>t</m:t>
        </m:r>
        <m:r>
          <m:t>e</m:t>
        </m:r>
        <m:r>
          <m:t>r</m:t>
        </m:r>
        <m:r>
          <m:t>f</m:t>
        </m:r>
        <m:r>
          <m:t>i</m:t>
        </m:r>
        <m:r>
          <m:t>x</m:t>
        </m:r>
        <m:r>
          <m:t>e</m:t>
        </m:r>
        <m:r>
          <m:t>d</m:t>
        </m:r>
        <m:r>
          <m:t>d</m:t>
        </m:r>
        <m:r>
          <m:t>i</m:t>
        </m:r>
        <m:r>
          <m:t>v</m:t>
        </m:r>
        <m:r>
          <m:t>i</m:t>
        </m:r>
        <m:r>
          <m:t>d</m:t>
        </m:r>
        <m:r>
          <m:t>e</m:t>
        </m:r>
        <m:r>
          <m:t>n</m:t>
        </m:r>
        <m:r>
          <m:t>d</m:t>
        </m:r>
        <m:r>
          <m:rPr>
            <m:sty m:val="p"/>
          </m:rPr>
          <m:t>*</m:t>
        </m:r>
        <m:r>
          <m:rPr>
            <m:sty m:val="p"/>
          </m:rPr>
          <m:t>*</m:t>
        </m:r>
        <m:r>
          <m:rPr>
            <m:sty m:val="p"/>
          </m:rPr>
          <m:t>(</m:t>
        </m:r>
        <m:r>
          <m:t>a</m:t>
        </m:r>
        <m:r>
          <m:rPr>
            <m:sty m:val="p"/>
          </m:rPr>
          <m:t>&gt;</m:t>
        </m:r>
        <m:r>
          <m:t>30</m:t>
        </m:r>
      </m:oMath>
      <w:r>
        <w:rPr>
          <w:b/>
          <w:bCs/>
        </w:rPr>
        <w:t xml:space="preserve">8B buyback authorization</w:t>
      </w:r>
    </w:p>
    <w:p>
      <w:pPr>
        <w:pStyle w:val="Compact"/>
        <w:numPr>
          <w:ilvl w:val="0"/>
          <w:numId w:val="1002"/>
        </w:numPr>
      </w:pPr>
      <w:r>
        <w:rPr>
          <w:b/>
          <w:bCs/>
        </w:rPr>
        <w:t xml:space="preserve">Balance sheet:</w:t>
      </w:r>
      <w:r>
        <w:t xml:space="preserve"> </w:t>
      </w:r>
      <w:r>
        <w:t xml:space="preserve">plan to</w:t>
      </w:r>
      <w:r>
        <w:t xml:space="preserve"> </w:t>
      </w:r>
      <w:r>
        <w:rPr>
          <w:b/>
          <w:bCs/>
        </w:rPr>
        <w:t xml:space="preserve">retire ~$1.25B of debt in 2026</w:t>
      </w:r>
      <w:r>
        <w:t xml:space="preserve">; net debt/EBITDAX was a comfortable</w:t>
      </w:r>
      <w:r>
        <w:t xml:space="preserve"> </w:t>
      </w:r>
      <w:r>
        <w:rPr>
          <w:b/>
          <w:bCs/>
        </w:rPr>
        <w:t xml:space="preserve">0.9x</w:t>
      </w:r>
      <w:r>
        <w:t xml:space="preserve"> </w:t>
      </w:r>
      <w:r>
        <w:t xml:space="preserve">at Q1</w:t>
      </w:r>
    </w:p>
    <w:bookmarkEnd w:id="11"/>
    <w:bookmarkStart w:id="12" w:name="Xc340426f69ff930676e988a3b5001b66acabf90"/>
    <w:p>
      <w:pPr>
        <w:pStyle w:val="Heading2"/>
      </w:pPr>
      <w:r>
        <w:t xml:space="preserve">Macro backdrop: a genuine oil tailwind — but volatile</w:t>
      </w:r>
    </w:p>
    <w:p>
      <w:pPr>
        <w:pStyle w:val="FirstParagraph"/>
      </w:pPr>
      <w:r>
        <w:t xml:space="preserve">The quarter played out against a</w:t>
      </w:r>
      <w:r>
        <w:t xml:space="preserve"> </w:t>
      </w:r>
      <w:r>
        <w:rPr>
          <w:b/>
          <w:bCs/>
        </w:rPr>
        <w:t xml:space="preserve">sharp oil-price spike tied to the war in Iran</w:t>
      </w:r>
      <w:r>
        <w:t xml:space="preserve"> </w:t>
      </w:r>
      <w:r>
        <w:t xml:space="preserve">and disruption around the Strait of Hormuz (roughly a fifth of traded oil/gas). The read-through from peers is unambiguous:</w:t>
      </w:r>
      <w:r>
        <w:t xml:space="preserve"> </w:t>
      </w:r>
      <w:r>
        <w:rPr>
          <w:b/>
          <w:bCs/>
        </w:rPr>
        <w:t xml:space="preserve">Chevron and Exxon posted their best profits in years</w:t>
      </w:r>
      <w:r>
        <w:t xml:space="preserve">, and</w:t>
      </w:r>
      <w:r>
        <w:t xml:space="preserve"> </w:t>
      </w:r>
      <w:r>
        <w:rPr>
          <w:b/>
          <w:bCs/>
        </w:rPr>
        <w:t xml:space="preserve">Diamondback (FANG) raised full-year production guidance</w:t>
      </w:r>
      <w:r>
        <w:t xml:space="preserve">, with its CEO arguing the conflict "structurally raised the floor" for oil. That sets up a strong Q2 realizations/cash-flow print for DVN.</w:t>
      </w:r>
    </w:p>
    <w:p>
      <w:pPr>
        <w:pStyle w:val="BodyText"/>
      </w:pPr>
      <w:r>
        <w:t xml:space="preserve">Two cautions: (1) the tailwind is fragile —</w:t>
      </w:r>
      <w:r>
        <w:t xml:space="preserve"> </w:t>
      </w:r>
      <w:r>
        <w:rPr>
          <w:b/>
          <w:bCs/>
        </w:rPr>
        <w:t xml:space="preserve">oil fell ~5% last week</w:t>
      </w:r>
      <w:r>
        <w:t xml:space="preserve"> </w:t>
      </w:r>
      <w:r>
        <w:t xml:space="preserve">on hopes for U.S.–Iran talks, so the forward commentary on the price deck matters as much as the backward-looking beat; and (2)</w:t>
      </w:r>
      <w:r>
        <w:t xml:space="preserve"> </w:t>
      </w:r>
      <w:r>
        <w:rPr>
          <w:b/>
          <w:bCs/>
        </w:rPr>
        <w:t xml:space="preserve">Waha gas</w:t>
      </w:r>
      <w:r>
        <w:t xml:space="preserve"> </w:t>
      </w:r>
      <w:r>
        <w:t xml:space="preserve">remains a soft spot in the Permian, though Blackcomb takeaway coming online later this year should cut DVN's exposure to ~10–15%.</w:t>
      </w:r>
    </w:p>
    <w:bookmarkEnd w:id="12"/>
    <w:bookmarkStart w:id="13" w:name="Xd89adc6ad1b2d3f756c1ce39806b1c3a0d0980e"/>
    <w:p>
      <w:pPr>
        <w:pStyle w:val="Heading2"/>
      </w:pPr>
      <w:r>
        <w:t xml:space="preserve">The real catalyst: portfolio review + activist pressure</w:t>
      </w:r>
    </w:p>
    <w:p>
      <w:pPr>
        <w:pStyle w:val="FirstParagraph"/>
      </w:pPr>
      <w:r>
        <w:t xml:space="preserve">This is likely the swing factor for the stock's reaction, more than the EPS beat:</w:t>
      </w:r>
    </w:p>
    <w:p>
      <w:pPr>
        <w:pStyle w:val="Compact"/>
        <w:numPr>
          <w:ilvl w:val="0"/>
          <w:numId w:val="1003"/>
        </w:numPr>
      </w:pPr>
      <w:r>
        <w:t xml:space="preserve">Management launched a</w:t>
      </w:r>
      <w:r>
        <w:t xml:space="preserve"> </w:t>
      </w:r>
      <w:r>
        <w:rPr>
          <w:b/>
          <w:bCs/>
        </w:rPr>
        <w:t xml:space="preserve">"complete review of all assets"</w:t>
      </w:r>
      <w:r>
        <w:t xml:space="preserve"> </w:t>
      </w:r>
      <w:r>
        <w:t xml:space="preserve">post-close — "every asset has to earn its seat at the table" — with divestitures explicitly on the table (proceeds could fund buybacks, debt reduction, or coring up the Delaware).</w:t>
      </w:r>
    </w:p>
    <w:p>
      <w:pPr>
        <w:pStyle w:val="Compact"/>
        <w:numPr>
          <w:ilvl w:val="0"/>
          <w:numId w:val="1003"/>
        </w:numPr>
      </w:pPr>
      <w:r>
        <w:rPr>
          <w:b/>
          <w:bCs/>
        </w:rPr>
        <w:t xml:space="preserve">Activists are circling.</w:t>
      </w:r>
      <w:r>
        <w:t xml:space="preserve"> </w:t>
      </w:r>
      <w:r>
        <w:rPr>
          <w:b/>
          <w:bCs/>
        </w:rPr>
        <w:t xml:space="preserve">TOMS Capital (Benjamin Pass)</w:t>
      </w:r>
      <w:r>
        <w:t xml:space="preserve"> </w:t>
      </w:r>
      <w:r>
        <w:t xml:space="preserve">built a stake and is pushing for</w:t>
      </w:r>
      <w:r>
        <w:t xml:space="preserve"> </w:t>
      </w:r>
      <w:r>
        <w:rPr>
          <w:b/>
          <w:bCs/>
        </w:rPr>
        <w:t xml:space="preserve">faster asset sales or even an outright sale</w:t>
      </w:r>
      <w:r>
        <w:t xml:space="preserve"> </w:t>
      </w:r>
      <w:r>
        <w:t xml:space="preserve">of the company.</w:t>
      </w:r>
      <w:r>
        <w:t xml:space="preserve"> </w:t>
      </w:r>
      <w:r>
        <w:rPr>
          <w:b/>
          <w:bCs/>
        </w:rPr>
        <w:t xml:space="preserve">Kimmeridge</w:t>
      </w:r>
      <w:r>
        <w:t xml:space="preserve"> </w:t>
      </w:r>
      <w:r>
        <w:t xml:space="preserve">has separately pressed on the portfolio mix, particularly the inherited</w:t>
      </w:r>
      <w:r>
        <w:t xml:space="preserve"> </w:t>
      </w:r>
      <w:r>
        <w:rPr>
          <w:b/>
          <w:bCs/>
        </w:rPr>
        <w:t xml:space="preserve">Marcellus gas position (~190k net acres in PA)</w:t>
      </w:r>
      <w:r>
        <w:t xml:space="preserve">. A reported Stone Ridge ABS offer for the Marcellus was said to have been tabled.</w:t>
      </w:r>
    </w:p>
    <w:p>
      <w:pPr>
        <w:pStyle w:val="Compact"/>
        <w:numPr>
          <w:ilvl w:val="0"/>
          <w:numId w:val="1003"/>
        </w:numPr>
      </w:pPr>
      <w:r>
        <w:rPr>
          <w:b/>
          <w:bCs/>
        </w:rPr>
        <w:t xml:space="preserve">What to listen for:</w:t>
      </w:r>
      <w:r>
        <w:t xml:space="preserve"> </w:t>
      </w:r>
      <w:r>
        <w:t xml:space="preserve">any concrete divestiture decisions or timeline, whether the Marcellus/gassy assets stay or go, and how firmly management pushes back (or engages) on the "sell the company" thesis. Silence/vagueness could disappoint an increasingly impatient shareholder base.</w:t>
      </w:r>
    </w:p>
    <w:bookmarkEnd w:id="13"/>
    <w:bookmarkStart w:id="14" w:name="other-watch-items-on-the-call"/>
    <w:p>
      <w:pPr>
        <w:pStyle w:val="Heading2"/>
      </w:pPr>
      <w:r>
        <w:t xml:space="preserve">Other watch items on the call</w:t>
      </w:r>
    </w:p>
    <w:p>
      <w:pPr>
        <w:pStyle w:val="Compact"/>
        <w:numPr>
          <w:ilvl w:val="0"/>
          <w:numId w:val="1004"/>
        </w:numPr>
      </w:pPr>
      <w:r>
        <w:rPr>
          <w:b/>
          <w:bCs/>
        </w:rPr>
        <w:t xml:space="preserve">Synergy progress / early wins</w:t>
      </w:r>
      <w:r>
        <w:t xml:space="preserve"> </w:t>
      </w:r>
      <w:r>
        <w:t xml:space="preserve">— any hint of pulling the $1B forward or raising it; production-optimization (AI-driven "Smart gas lift," now 850+ wells scaling to 1,500) is a tangible lever.</w:t>
      </w:r>
    </w:p>
    <w:p>
      <w:pPr>
        <w:pStyle w:val="Compact"/>
        <w:numPr>
          <w:ilvl w:val="0"/>
          <w:numId w:val="1004"/>
        </w:numPr>
      </w:pPr>
      <w:r>
        <w:rPr>
          <w:b/>
          <w:bCs/>
        </w:rPr>
        <w:t xml:space="preserve">Shareholder returns cadence</w:t>
      </w:r>
      <w:r>
        <w:t xml:space="preserve"> </w:t>
      </w:r>
      <w:r>
        <w:t xml:space="preserve">— first buyback pace under the new $8B authorization (both companies paused repurchases into close and built cash, so a step-up in activity is possible).</w:t>
      </w:r>
    </w:p>
    <w:p>
      <w:pPr>
        <w:pStyle w:val="Compact"/>
        <w:numPr>
          <w:ilvl w:val="0"/>
          <w:numId w:val="1004"/>
        </w:numPr>
      </w:pPr>
      <w:r>
        <w:rPr>
          <w:b/>
          <w:bCs/>
        </w:rPr>
        <w:t xml:space="preserve">Debt actions</w:t>
      </w:r>
      <w:r>
        <w:t xml:space="preserve"> </w:t>
      </w:r>
      <w:r>
        <w:t xml:space="preserve">— the</w:t>
      </w:r>
      <w:r>
        <w:t xml:space="preserve"> </w:t>
      </w:r>
      <w:r>
        <w:rPr>
          <w:b/>
          <w:bCs/>
        </w:rPr>
        <w:t xml:space="preserve">$2.95B debt exchange completed June 25</w:t>
      </w:r>
      <w:r>
        <w:t xml:space="preserve"> </w:t>
      </w:r>
      <w:r>
        <w:t xml:space="preserve">and the $1.25B paydown plan; watch for further liability management.</w:t>
      </w:r>
    </w:p>
    <w:p>
      <w:pPr>
        <w:pStyle w:val="Compact"/>
        <w:numPr>
          <w:ilvl w:val="0"/>
          <w:numId w:val="1004"/>
        </w:numPr>
      </w:pPr>
      <w:r>
        <w:rPr>
          <w:b/>
          <w:bCs/>
        </w:rPr>
        <w:t xml:space="preserve">Cash taxes</w:t>
      </w:r>
      <w:r>
        <w:t xml:space="preserve"> </w:t>
      </w:r>
      <w:r>
        <w:t xml:space="preserve">— CFO flagged a higher back-half tax rate (~10% full-year for legacy Devon) as high prices/capital efficiency burn through the tax shield faster.</w:t>
      </w:r>
    </w:p>
    <w:p>
      <w:pPr>
        <w:pStyle w:val="Compact"/>
        <w:numPr>
          <w:ilvl w:val="0"/>
          <w:numId w:val="1004"/>
        </w:numPr>
      </w:pPr>
      <w:r>
        <w:rPr>
          <w:b/>
          <w:bCs/>
        </w:rPr>
        <w:t xml:space="preserve">Fervo</w:t>
      </w:r>
      <w:r>
        <w:t xml:space="preserve"> </w:t>
      </w:r>
      <w:r>
        <w:t xml:space="preserve">— the geothermal stake (S-1 filed) is a small but optionality-rich mark.</w:t>
      </w:r>
    </w:p>
    <w:bookmarkEnd w:id="14"/>
    <w:bookmarkStart w:id="15" w:name="stock-setup"/>
    <w:p>
      <w:pPr>
        <w:pStyle w:val="Heading2"/>
      </w:pPr>
      <w:r>
        <w:t xml:space="preserve">Stock setup</w:t>
      </w:r>
    </w:p>
    <w:p>
      <w:pPr>
        <w:pStyle w:val="FirstParagraph"/>
      </w:pPr>
      <w:r>
        <w:t xml:space="preserve">DVN has rallied off its January low (~</w:t>
      </w:r>
      <m:oMath>
        <m:r>
          <m:t>34.50</m:t>
        </m:r>
        <m:r>
          <m:rPr>
            <m:sty m:val="p"/>
          </m:rPr>
          <m:t>)</m:t>
        </m:r>
        <m:r>
          <m:t>t</m:t>
        </m:r>
        <m:r>
          <m:t>o</m:t>
        </m:r>
        <m:r>
          <m:t>a</m:t>
        </m:r>
        <m:r>
          <m:t>M</m:t>
        </m:r>
        <m:r>
          <m:t>a</m:t>
        </m:r>
        <m:r>
          <m:t>r</m:t>
        </m:r>
        <m:r>
          <m:t>c</m:t>
        </m:r>
        <m:r>
          <m:t>h</m:t>
        </m:r>
        <m:r>
          <m:t>h</m:t>
        </m:r>
        <m:r>
          <m:t>i</m:t>
        </m:r>
        <m:r>
          <m:t>g</m:t>
        </m:r>
        <m:r>
          <m:t>h</m:t>
        </m:r>
        <m:r>
          <m:t>n</m:t>
        </m:r>
        <m:r>
          <m:t>e</m:t>
        </m:r>
        <m:r>
          <m:t>a</m:t>
        </m:r>
        <m:r>
          <m:t>r</m:t>
        </m:r>
        <m:r>
          <m:t> </m:t>
        </m:r>
      </m:oMath>
      <w:r>
        <w:t xml:space="preserve">52, then faded to the mid-$40s. Critically,</w:t>
      </w:r>
      <w:r>
        <w:t xml:space="preserve"> </w:t>
      </w:r>
      <w:r>
        <w:rPr>
          <w:b/>
          <w:bCs/>
        </w:rPr>
        <w:t xml:space="preserve">it has lagged the energy complex in 2026</w:t>
      </w:r>
      <w:r>
        <w:t xml:space="preserve"> </w:t>
      </w:r>
      <w:r>
        <w:t xml:space="preserve">(~+18% vs. XLE ~+29%), partly on merger-integration and "gas-mix" overhang concerns. That relative underperformance is the bull case for activists — and means a credible synergy/portfolio narrative could re-rate the stock, while a "wait for the review" answer risks a muted-to-negative reaction even on a headline beat.</w:t>
      </w:r>
    </w:p>
    <w:bookmarkEnd w:id="15"/>
    <w:bookmarkStart w:id="16" w:name="bottom-line"/>
    <w:p>
      <w:pPr>
        <w:pStyle w:val="Heading2"/>
      </w:pPr>
      <w:r>
        <w:t xml:space="preserve">Bottom line</w:t>
      </w:r>
    </w:p>
    <w:p>
      <w:pPr>
        <w:pStyle w:val="FirstParagraph"/>
      </w:pPr>
      <w:r>
        <w:t xml:space="preserve">Expect a</w:t>
      </w:r>
      <w:r>
        <w:t xml:space="preserve"> </w:t>
      </w:r>
      <w:r>
        <w:rPr>
          <w:b/>
          <w:bCs/>
        </w:rPr>
        <w:t xml:space="preserve">strong headline quarter</w:t>
      </w:r>
      <w:r>
        <w:t xml:space="preserve"> </w:t>
      </w:r>
      <w:r>
        <w:t xml:space="preserve">— high oil realizations and the first full slug of Coterra volumes should drive a big year-over-year EPS jump — but the numbers will be noisy given mid-quarter merger accounting.</w:t>
      </w:r>
      <w:r>
        <w:t xml:space="preserve"> </w:t>
      </w:r>
      <w:r>
        <w:rPr>
          <w:b/>
          <w:bCs/>
        </w:rPr>
        <w:t xml:space="preserve">The stock's reaction will hinge less on the beat and more on three forward items: (1) tangible synergy capture, (2) concrete portfolio-review/divestiture decisions amid TOMS/Kimmeridge pressure, and (3) the pace of the $8B buyback and dividend.</w:t>
      </w:r>
      <w:r>
        <w:t xml:space="preserve"> </w:t>
      </w:r>
      <w:r>
        <w:t xml:space="preserve">Given DVN's relative underperformance and a still-supportive (if volatile) oil backdrop, the risk/reward skews to whether management can convert "review" into action.</w:t>
      </w:r>
    </w:p>
    <w:p>
      <w:pPr>
        <w:pStyle w:val="BodyText"/>
      </w:pPr>
      <w:r>
        <w:rPr>
          <w:i/>
          <w:iCs/>
        </w:rPr>
        <w:t xml:space="preserve">Note: figures on merger terms, guidance, and shareholder returns are drawn from Devon's Q1 release/transcript, the May 7 merger completion 8-K, and the June 9 combined-outlook update; estimates and activist details are from recent public news and sell-side previews. Nothing here is investment advice.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2026-08-04T02:03:13Z</dcterms:created>
  <dcterms:modified xsi:type="dcterms:W3CDTF">2026-08-04T02:03:13Z</dcterms:modified>
</cp:coreProperties>
</file>

<file path=docProps/custom.xml><?xml version="1.0" encoding="utf-8"?>
<Properties xmlns="http://schemas.openxmlformats.org/officeDocument/2006/custom-properties" xmlns:vt="http://schemas.openxmlformats.org/officeDocument/2006/docPropsVTypes"/>
</file>