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X8937b713334f2f91a64c9fd52c680fe2d9b6054"/>
    <w:p>
      <w:pPr>
        <w:pStyle w:val="Heading1"/>
      </w:pPr>
      <w:r>
        <w:t xml:space="preserve">Devon Energy (DVN) — Q2 2026 Earnings Preview</w:t>
      </w:r>
    </w:p>
    <w:p>
      <w:pPr>
        <w:pStyle w:val="FirstParagraph"/>
      </w:pPr>
      <w:r>
        <w:rPr>
          <w:b/>
          <w:bCs/>
        </w:rPr>
        <w:t xml:space="preserve">Report date:</w:t>
      </w:r>
      <w:r>
        <w:t xml:space="preserve"> </w:t>
      </w:r>
      <w:r>
        <w:t xml:space="preserve">Tuesday, August 4, 2026, after market close, followed by a conference call on August 5 (per standard DVN cadence). This is arguably the most consequential print of the year for Devon, since it is the</w:t>
      </w:r>
      <w:r>
        <w:t xml:space="preserve"> </w:t>
      </w:r>
      <w:r>
        <w:rPr>
          <w:b/>
          <w:bCs/>
        </w:rPr>
        <w:t xml:space="preserve">first full quarterly report of the combined Devon-Coterra entity</w:t>
      </w:r>
      <w:r>
        <w:t xml:space="preserve">.</w:t>
      </w:r>
    </w:p>
    <w:bookmarkStart w:id="9" w:name="snapshot-what-wall-street-expects"/>
    <w:p>
      <w:pPr>
        <w:pStyle w:val="Heading2"/>
      </w:pPr>
      <w:r>
        <w:t xml:space="preserve">Snapshot: What Wall Street Expects</w:t>
      </w:r>
    </w:p>
    <w:p>
      <w:pPr>
        <w:pStyle w:val="FirstParagraph"/>
      </w:pPr>
      <w:r>
        <w:t xml:space="preserve">Estimates cluster tightly around similar figures. The Zacks Consensus Estimate for earnings is currently pegged at $1.30 per share on revenues of $6.3 billion, a bottom-line projection that indicates a 54.76% increase from the year-ago number and a 47.02% year-over-year increase in revenue. A separate estimate puts diluted EPS closer to $1.34, up 59.5% from $0.84 in the year-ago quarter. The spread reflects how messy year-over-year comparisons are right now given the merger, but the direction is unambiguous: big growth, driven by scale (Coterra) and price (oil spike).</w:t>
      </w:r>
    </w:p>
    <w:p>
      <w:pPr>
        <w:pStyle w:val="BodyText"/>
      </w:pPr>
      <w:r>
        <w:t xml:space="preserve">Devon has a strong beat record heading in: Devon Energy's earnings beat the Zacks Consensus Estimate in each of the trailing four quarters, with the average surprise being 4.57%. That said, the last actual print wasn't clean — shares of Devon Energy tumbled 8.6% following its Q1 2026 results on May 5, as the company reported weaker-than-expected adjusted EPS of $1.04, with weak U.S. natural gas prices weighing on earnings. Its average realized natural gas price fell 32.2% year-over-year to $1.68 per Mcf, while its total realized price, including cash settlements, declined 8.3% to $38.94 per barrel of oil equivalent (boe), reflecting continued pricing pressure caused by prolonged pipeline constraints in the Permian Basin. Watch whether that Waha/gas-basis drag repeats.</w:t>
      </w:r>
    </w:p>
    <w:bookmarkEnd w:id="9"/>
    <w:bookmarkStart w:id="10" w:name="Xb3cb8709f6269c312fd3864ef6b992beda32bfe"/>
    <w:p>
      <w:pPr>
        <w:pStyle w:val="Heading2"/>
      </w:pPr>
      <w:r>
        <w:t xml:space="preserve">The Big Story: First Quarter as the Combined Company</w:t>
      </w:r>
    </w:p>
    <w:p>
      <w:pPr>
        <w:pStyle w:val="FirstParagraph"/>
      </w:pPr>
      <w:r>
        <w:t xml:space="preserve">Devon closed its transformative all-stock merger with Coterra Energy on May 7, 2026, and the merger with Coterra Energy was completed on May 7, 2026, with Devon's guidance reflecting standalone operations plus Coterra beginning from that date. Management issued fresh combined-company guidance in mid-June:</w:t>
      </w:r>
    </w:p>
    <w:p>
      <w:pPr>
        <w:pStyle w:val="Compact"/>
        <w:numPr>
          <w:ilvl w:val="0"/>
          <w:numId w:val="1001"/>
        </w:numPr>
      </w:pPr>
      <w:r>
        <w:t xml:space="preserve">Devon Energy unveiled its first outlook as a combined company following the completion of its merger with Coterra Energy, projecting 2026 production of approximately 1.38 million barrels of oil equivalent per day (boe/d), with oil output expected to average around 500,000 barrels per day and total capital spending forecast at roughly $4.9 billion, with more than 60% of that investment directed toward the Permian Basin.</w:t>
      </w:r>
    </w:p>
    <w:p>
      <w:pPr>
        <w:pStyle w:val="Compact"/>
        <w:numPr>
          <w:ilvl w:val="0"/>
          <w:numId w:val="1001"/>
        </w:numPr>
      </w:pPr>
      <w:r>
        <w:t xml:space="preserve">Devon plans to operate 31 drilling rigs and 10 completion crews in 2026, bringing between 460 and 480 net wells online, with the development program optimized to maximize free cash flow generation rather than pursue aggressive production growth.</w:t>
      </w:r>
    </w:p>
    <w:p>
      <w:pPr>
        <w:pStyle w:val="Compact"/>
        <w:numPr>
          <w:ilvl w:val="0"/>
          <w:numId w:val="1001"/>
        </w:numPr>
      </w:pPr>
      <w:r>
        <w:t xml:space="preserve">For the quarter itself, second-quarter production is projected between 1.315 million and 1.36 million barrels of oil equivalent per day, with second-quarter capital expenditures projected between $1.25 billion and $1.35 billion.</w:t>
      </w:r>
    </w:p>
    <w:p>
      <w:pPr>
        <w:pStyle w:val="Compact"/>
        <w:numPr>
          <w:ilvl w:val="0"/>
          <w:numId w:val="1001"/>
        </w:numPr>
      </w:pPr>
      <w:r>
        <w:t xml:space="preserve">On shareholder returns, Devon highlighted a shareholder return framework including a fixed quarterly dividend of $0.32 per share and an existing $8 billion share repurchase authorization, while intending to maintain an investment-grade balance sheet and expecting to retire approximately $1.25 billion of debt in 2026.</w:t>
      </w:r>
    </w:p>
    <w:p>
      <w:pPr>
        <w:pStyle w:val="FirstParagraph"/>
      </w:pPr>
      <w:r>
        <w:t xml:space="preserve">CEO Clay Gaspar framed the update bluntly: "Today's guidance underscores the strength of our newly combined platform as one of the largest and most efficient E&amp;P companies," said Clay Gaspar, president and CEO. "Optimizing our portfolio remains a top priority, and a complete review of our strategic and financial criteria is well underway." That portfolio review is now the single biggest swing factor for the stock heading into Tuesday.</w:t>
      </w:r>
    </w:p>
    <w:bookmarkEnd w:id="10"/>
    <w:bookmarkStart w:id="11" w:name="X9471c585121163d55bb83e577a990a3ba8908fe"/>
    <w:p>
      <w:pPr>
        <w:pStyle w:val="Heading2"/>
      </w:pPr>
      <w:r>
        <w:t xml:space="preserve">What to Watch #1: Portfolio Review / Divestitures</w:t>
      </w:r>
    </w:p>
    <w:p>
      <w:pPr>
        <w:pStyle w:val="FirstParagraph"/>
      </w:pPr>
      <w:r>
        <w:t xml:space="preserve">Activists have been pressing management to move faster. On July 09, 2026, Kimmeridge Energy Management criticized Devon Energy for its slow execution of a divestment strategy following its $25 billion acquisition of Coterra Energy, highlighting growing frustration from activist investors, with Kimmeridge's managing director pointing to the board's inadequate response while Toms Capital Investment Management also expressed impatience with management. In response, Devon's CEO stated that portfolio evaluations are progressing rapidly.</w:t>
      </w:r>
    </w:p>
    <w:p>
      <w:pPr>
        <w:pStyle w:val="BodyText"/>
      </w:pPr>
      <w:r>
        <w:t xml:space="preserve">Reports since have crystallized around specific packages:</w:t>
      </w:r>
    </w:p>
    <w:p>
      <w:pPr>
        <w:pStyle w:val="Compact"/>
        <w:numPr>
          <w:ilvl w:val="0"/>
          <w:numId w:val="1002"/>
        </w:numPr>
      </w:pPr>
      <w:r>
        <w:t xml:space="preserve">Devon Energy is considering selling its Eagle Ford and Powder River shale assets as part of a portfolio streamlining effort, according to Bloomberg News, in a combined sale that could generate more than $4 billion, with the company planning to announce a strategic review of the assets when it reports earnings in early August.</w:t>
      </w:r>
    </w:p>
    <w:p>
      <w:pPr>
        <w:pStyle w:val="Compact"/>
        <w:numPr>
          <w:ilvl w:val="0"/>
          <w:numId w:val="1002"/>
        </w:numPr>
      </w:pPr>
      <w:r>
        <w:t xml:space="preserve">Devon is also reviewing an approximately $8 billion offer from Stone Ridge Asset Management for its Marcellus shale assets and has indicated plans to use divestments and cash flow to reduce debt materially by year-end 2026.</w:t>
      </w:r>
    </w:p>
    <w:p>
      <w:pPr>
        <w:pStyle w:val="FirstParagraph"/>
      </w:pPr>
      <w:r>
        <w:t xml:space="preserve">If either transaction (or a formal "strategic review" announcement) surfaces on the call, it would likely be the single biggest headline of the print. As one pre-earnings note put it, the upcoming August 4 Q2 report is the clearest short-term catalyst, as it should clarify merger integration progress and planned divestitures, spotlighting how efficiently Devon is capturing integration synergies and reshaping its asset portfolio.</w:t>
      </w:r>
    </w:p>
    <w:bookmarkEnd w:id="11"/>
    <w:bookmarkStart w:id="12" w:name="what-to-watch-2-synergy-capture-update"/>
    <w:p>
      <w:pPr>
        <w:pStyle w:val="Heading2"/>
      </w:pPr>
      <w:r>
        <w:t xml:space="preserve">What to Watch #2: Synergy Capture Update</w:t>
      </w:r>
    </w:p>
    <w:p>
      <w:pPr>
        <w:pStyle w:val="FirstParagraph"/>
      </w:pPr>
      <w:r>
        <w:t xml:space="preserve">Devon's $1 billion pretax synergy target from the Coterra deal (targeted run-rate by year-end 2027) is the other key scorecard item. Management has repeatedly said the number is a "floor, not a ceiling," pointing to over 150 identified value-capture projects across drilling/completion costs, production optimization (AI-driven artificial lift), and corporate overhead. Investors should look for a formal, quantified synergy update (dollars captured to date vs. the run-rate target) rather than qualitative color this quarter — that's been a recurring ask from the sell side.</w:t>
      </w:r>
    </w:p>
    <w:bookmarkEnd w:id="12"/>
    <w:bookmarkStart w:id="13" w:name="X50b079ec5a6a7ca5e8ad6d27e9378fec56ba02e"/>
    <w:p>
      <w:pPr>
        <w:pStyle w:val="Heading2"/>
      </w:pPr>
      <w:r>
        <w:t xml:space="preserve">What to Watch #3: Capital Returns and Balance Sheet</w:t>
      </w:r>
    </w:p>
    <w:p>
      <w:pPr>
        <w:pStyle w:val="FirstParagraph"/>
      </w:pPr>
      <w:r>
        <w:t xml:space="preserve">The expanded $8.0 billion share repurchase authorization stands out ahead of this update — a long-dated buyback plan that, paired with the higher fixed dividend, reinforces that Devon is prioritizing capital returns even as it absorbs new assets, restructures its balance sheet, and responds to activist pressure around portfolio sales. Watch for the actual Q2 buyback dollar figure and dividend declaration (guided at $0.32/share), plus progress on the 2026 debt-retirement target following the company's $2.95 billion debt exchange completed in late June.</w:t>
      </w:r>
    </w:p>
    <w:bookmarkEnd w:id="13"/>
    <w:bookmarkStart w:id="14" w:name="X8ed4859916fe9132fd016c6084eb046950e07a6"/>
    <w:p>
      <w:pPr>
        <w:pStyle w:val="Heading2"/>
      </w:pPr>
      <w:r>
        <w:t xml:space="preserve">The Macro Backdrop: An Extraordinarily Volatile Oil Tape</w:t>
      </w:r>
    </w:p>
    <w:p>
      <w:pPr>
        <w:pStyle w:val="FirstParagraph"/>
      </w:pPr>
      <w:r>
        <w:t xml:space="preserve">Devon's realized pricing this quarter sits squarely in the middle of the most volatile oil market in years, driven by the Iran conflict and Strait of Hormuz disruptions:</w:t>
      </w:r>
    </w:p>
    <w:p>
      <w:pPr>
        <w:pStyle w:val="Compact"/>
        <w:numPr>
          <w:ilvl w:val="0"/>
          <w:numId w:val="1003"/>
        </w:numPr>
      </w:pPr>
      <w:r>
        <w:t xml:space="preserve">On June 18, the United States and Iran signed a memorandum of understanding to end the conflict and open the Strait of Hormuz, which had been effectively closed since February 28 when the conflict began — a closure that significantly disrupted global oil flows and caused major price volatility.</w:t>
      </w:r>
    </w:p>
    <w:p>
      <w:pPr>
        <w:pStyle w:val="Compact"/>
        <w:numPr>
          <w:ilvl w:val="0"/>
          <w:numId w:val="1003"/>
        </w:numPr>
      </w:pPr>
      <w:r>
        <w:t xml:space="preserve">Prices swung sharply as the ceasefire proved fragile: crude oil prices rose 1% on a recent Friday to around $85 a barrel, capping a more than 20% gain in July, its strongest monthly increase since March, driven by escalating geopolitical tensions and growing concerns over global oil supplies.</w:t>
      </w:r>
    </w:p>
    <w:p>
      <w:pPr>
        <w:pStyle w:val="Compact"/>
        <w:numPr>
          <w:ilvl w:val="0"/>
          <w:numId w:val="1003"/>
        </w:numPr>
      </w:pPr>
      <w:r>
        <w:t xml:space="preserve">But just this week, crude oil fell about 5% to below $80 a barrel after President Trump called off a planned military strike on Iran and said fresh negotiations with Tehran would begin, with regional allies including Saudi Arabia urging Washington to pursue diplomacy and suspend the attack while efforts continue to reopen the Strait of Hormuz.</w:t>
      </w:r>
    </w:p>
    <w:p>
      <w:pPr>
        <w:pStyle w:val="Compact"/>
        <w:numPr>
          <w:ilvl w:val="0"/>
          <w:numId w:val="1003"/>
        </w:numPr>
      </w:pPr>
      <w:r>
        <w:t xml:space="preserve">Wall Street's base case looks for prices to normalize over time: Goldman Sachs said Brent crude should moderate to $80 a barrel by year-end "if Hormuz fully reopens," though "Red Sea disruptions and attacks on Saudi oil infrastructure may pose a new source of upside risk for crude and refined products prices."</w:t>
      </w:r>
    </w:p>
    <w:p>
      <w:pPr>
        <w:pStyle w:val="FirstParagraph"/>
      </w:pPr>
      <w:r>
        <w:t xml:space="preserve">This backdrop is a double-edged sword for the print: Q2 realizations should look strong (Devon guided the quarter before oil legs higher again in July), but guidance commentary on the back half of the year will be scrutinized for how conservative management is being given the potential for prices to give back gains if the conflict fully de-escalates.</w:t>
      </w:r>
    </w:p>
    <w:bookmarkEnd w:id="14"/>
    <w:bookmarkStart w:id="15" w:name="stock-performance--analyst-sentiment"/>
    <w:p>
      <w:pPr>
        <w:pStyle w:val="Heading2"/>
      </w:pPr>
      <w:r>
        <w:t xml:space="preserve">Stock Performance &amp; Analyst Sentiment</w:t>
      </w:r>
    </w:p>
    <w:p>
      <w:pPr>
        <w:pStyle w:val="FirstParagraph"/>
      </w:pPr>
      <w:r>
        <w:t xml:space="preserve">DVN shares have been a wild ride in 2026 — rallying from the high-$30s in January to a peak near</w:t>
      </w:r>
      <w:r>
        <w:t xml:space="preserve"> </w:t>
      </w:r>
      <m:oMath>
        <m:r>
          <m:t>52</m:t>
        </m:r>
        <m:r>
          <m:t>i</m:t>
        </m:r>
        <m:r>
          <m:t>n</m:t>
        </m:r>
        <m:r>
          <m:t>l</m:t>
        </m:r>
        <m:r>
          <m:t>a</m:t>
        </m:r>
        <m:r>
          <m:t>t</m:t>
        </m:r>
        <m:r>
          <m:t>e</m:t>
        </m:r>
        <m:r>
          <m:t>M</m:t>
        </m:r>
        <m:r>
          <m:t>a</m:t>
        </m:r>
        <m:r>
          <m:t>r</m:t>
        </m:r>
        <m:r>
          <m:t>c</m:t>
        </m:r>
        <m:r>
          <m:t>h</m:t>
        </m:r>
        <m:r>
          <m:t>o</m:t>
        </m:r>
        <m:r>
          <m:t>n</m:t>
        </m:r>
        <m:r>
          <m:t>t</m:t>
        </m:r>
        <m:r>
          <m:t>h</m:t>
        </m:r>
        <m:r>
          <m:t>e</m:t>
        </m:r>
        <m:r>
          <m:t>I</m:t>
        </m:r>
        <m:r>
          <m:t>r</m:t>
        </m:r>
        <m:r>
          <m:t>a</m:t>
        </m:r>
        <m:r>
          <m:t>n</m:t>
        </m:r>
        <m:r>
          <m:rPr>
            <m:sty m:val="p"/>
          </m:rPr>
          <m:t>−</m:t>
        </m:r>
        <m:r>
          <m:t>d</m:t>
        </m:r>
        <m:r>
          <m:t>r</m:t>
        </m:r>
        <m:r>
          <m:t>i</m:t>
        </m:r>
        <m:r>
          <m:t>v</m:t>
        </m:r>
        <m:r>
          <m:t>e</m:t>
        </m:r>
        <m:r>
          <m:t>n</m:t>
        </m:r>
        <m:r>
          <m:t>o</m:t>
        </m:r>
        <m:r>
          <m:t>i</m:t>
        </m:r>
        <m:r>
          <m:t>l</m:t>
        </m:r>
        <m:r>
          <m:t>s</m:t>
        </m:r>
        <m:r>
          <m:t>p</m:t>
        </m:r>
        <m:r>
          <m:t>i</m:t>
        </m:r>
        <m:r>
          <m:t>k</m:t>
        </m:r>
        <m:r>
          <m:t>e</m:t>
        </m:r>
        <m:r>
          <m:rPr>
            <m:sty m:val="p"/>
          </m:rPr>
          <m:t>,</m:t>
        </m:r>
        <m:r>
          <m:t>s</m:t>
        </m:r>
        <m:r>
          <m:t>l</m:t>
        </m:r>
        <m:r>
          <m:t>i</m:t>
        </m:r>
        <m:r>
          <m:t>d</m:t>
        </m:r>
        <m:r>
          <m:t>i</m:t>
        </m:r>
        <m:r>
          <m:t>n</m:t>
        </m:r>
        <m:r>
          <m:t>g</m:t>
        </m:r>
        <m:r>
          <m:t>b</m:t>
        </m:r>
        <m:r>
          <m:t>a</m:t>
        </m:r>
        <m:r>
          <m:t>c</m:t>
        </m:r>
        <m:r>
          <m:t>k</m:t>
        </m:r>
        <m:r>
          <m:t>i</m:t>
        </m:r>
        <m:r>
          <m:t>n</m:t>
        </m:r>
        <m:r>
          <m:t>t</m:t>
        </m:r>
        <m:r>
          <m:t>o</m:t>
        </m:r>
        <m:r>
          <m:t>t</m:t>
        </m:r>
        <m:r>
          <m:t>h</m:t>
        </m:r>
        <m:r>
          <m:t>e</m:t>
        </m:r>
        <m:r>
          <m:t>l</m:t>
        </m:r>
        <m:r>
          <m:t>o</m:t>
        </m:r>
        <m:r>
          <m:t>w</m:t>
        </m:r>
        <m:r>
          <m:rPr>
            <m:sty m:val="p"/>
          </m:rPr>
          <m:t>−</m:t>
        </m:r>
      </m:oMath>
      <w:r>
        <w:t xml:space="preserve">40s by June as a ceasefire briefly took hold, and now sitting around $44-45 heading into the print. Sentiment is still constructive: among the 27 analysts covering the stock, the consensus rating is a "Strong Buy," based on 24 "Strong Buy" ratings, one "Moderate Buy," and two "Holds." Susquehanna's Charles Minervino raised his price target on Devon Energy to $63 in late July and maintained a "Positive" rating, with the mean price target of $59.31 representing a 33.4% premium to current price levels. Coverage has been mixed at the margins though — UBS recently cut its target to $58, while JPMorgan reinstated coverage with an Overweight rating and a $62 price target and Morgan Stanley reiterated a Buy rating with a $66 target, both pointing to Devon's post-merger positioning.</w:t>
      </w:r>
    </w:p>
    <w:p>
      <w:pPr>
        <w:pStyle w:val="BodyText"/>
      </w:pPr>
      <w:r>
        <w:t xml:space="preserve">Relative to integrated peers, some see DVN as cheap: one recent sector note argued for going long Valero and Devon at roughly 8.5x-9.9x forward 2026 earnings, calling them the cheapest large-cap refiner and large-cap shale operator in the S&amp;P 500 and the cleanest expressions of post-war crack spreads and realized oil prices, against a sector trading at a roughly 34% discount to the broader market.</w:t>
      </w:r>
    </w:p>
    <w:bookmarkEnd w:id="15"/>
    <w:bookmarkStart w:id="16" w:name="key-risks-into-the-print"/>
    <w:p>
      <w:pPr>
        <w:pStyle w:val="Heading2"/>
      </w:pPr>
      <w:r>
        <w:t xml:space="preserve">Key Risks Into the Print</w:t>
      </w:r>
    </w:p>
    <w:p>
      <w:pPr>
        <w:pStyle w:val="Compact"/>
        <w:numPr>
          <w:ilvl w:val="0"/>
          <w:numId w:val="1004"/>
        </w:numPr>
      </w:pPr>
      <w:r>
        <w:rPr>
          <w:b/>
          <w:bCs/>
        </w:rPr>
        <w:t xml:space="preserve">Oil price reversal risk</w:t>
      </w:r>
      <w:r>
        <w:t xml:space="preserve"> </w:t>
      </w:r>
      <w:r>
        <w:t xml:space="preserve">— if the Iran ceasefire holds and Hormuz fully reopens, Brent/WTI could give back much of the 2026 gains, pressuring both realized prices and the multiple investors are willing to pay.</w:t>
      </w:r>
    </w:p>
    <w:p>
      <w:pPr>
        <w:pStyle w:val="Compact"/>
        <w:numPr>
          <w:ilvl w:val="0"/>
          <w:numId w:val="1004"/>
        </w:numPr>
      </w:pPr>
      <w:r>
        <w:rPr>
          <w:b/>
          <w:bCs/>
        </w:rPr>
        <w:t xml:space="preserve">Execution risk on divestitures</w:t>
      </w:r>
      <w:r>
        <w:t xml:space="preserve"> </w:t>
      </w:r>
      <w:r>
        <w:t xml:space="preserve">— activists (Kimmeridge, Toms Capital) are watching closely; a vague or delayed portfolio update could reignite pressure on the stock and management credibility.</w:t>
      </w:r>
    </w:p>
    <w:p>
      <w:pPr>
        <w:pStyle w:val="Compact"/>
        <w:numPr>
          <w:ilvl w:val="0"/>
          <w:numId w:val="1004"/>
        </w:numPr>
      </w:pPr>
      <w:r>
        <w:rPr>
          <w:b/>
          <w:bCs/>
        </w:rPr>
        <w:t xml:space="preserve">Natural gas/Waha basis exposure</w:t>
      </w:r>
      <w:r>
        <w:t xml:space="preserve"> </w:t>
      </w:r>
      <w:r>
        <w:t xml:space="preserve">— still roughly 10-15% of Permian gas exposed to negative Waha pricing until the Blackcomb pipeline ramps later this year.</w:t>
      </w:r>
    </w:p>
    <w:p>
      <w:pPr>
        <w:pStyle w:val="Compact"/>
        <w:numPr>
          <w:ilvl w:val="0"/>
          <w:numId w:val="1004"/>
        </w:numPr>
      </w:pPr>
      <w:r>
        <w:rPr>
          <w:b/>
          <w:bCs/>
        </w:rPr>
        <w:t xml:space="preserve">Synergy delivery risk</w:t>
      </w:r>
      <w:r>
        <w:t xml:space="preserve"> </w:t>
      </w:r>
      <w:r>
        <w:t xml:space="preserve">— the $1 billion target is unproven at scale; any signs of slippage would be a negative surprise given how central it is to the bull case.</w:t>
      </w:r>
    </w:p>
    <w:p>
      <w:pPr>
        <w:pStyle w:val="Compact"/>
        <w:numPr>
          <w:ilvl w:val="0"/>
          <w:numId w:val="1004"/>
        </w:numPr>
      </w:pPr>
      <w:r>
        <w:rPr>
          <w:b/>
          <w:bCs/>
        </w:rPr>
        <w:t xml:space="preserve">Integration/culture risk</w:t>
      </w:r>
      <w:r>
        <w:t xml:space="preserve"> </w:t>
      </w:r>
      <w:r>
        <w:t xml:space="preserve">— normal for any large, fast-closed merger (94 days signing-to-close), though management has expressed high confidence.</w:t>
      </w:r>
    </w:p>
    <w:bookmarkEnd w:id="16"/>
    <w:bookmarkStart w:id="17" w:name="bottom-line"/>
    <w:p>
      <w:pPr>
        <w:pStyle w:val="Heading2"/>
      </w:pPr>
      <w:r>
        <w:t xml:space="preserve">Bottom Line</w:t>
      </w:r>
    </w:p>
    <w:p>
      <w:pPr>
        <w:pStyle w:val="FirstParagraph"/>
      </w:pPr>
      <w:r>
        <w:t xml:space="preserve">This print is less about a single quarter's oil-price-driven EPS beat and more about proof points on the post-merger thesis: is Devon capturing the promised Coterra synergies, is the long-promised portfolio review finally producing concrete divestitures (Eagle Ford/Powder River, potentially Marcellus), and is management staying disciplined on capital returns (dividend, the $8B buyback) and debt paydown while integrating a company nearly its own size — all against the backdrop of one of the most volatile oil markets in years. A clean beat with a concrete divestiture announcement would likely be well received given how much of the bull case rests on execution rather than commodity price alone; a vague "review continues" update, on the other hand, risks reviving activist pressure and disappointing a market that has been patiently waiting since February for tangible portfolio action.</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2026-08-04T01:58:01Z</dcterms:created>
  <dcterms:modified xsi:type="dcterms:W3CDTF">2026-08-04T01:58:01Z</dcterms:modified>
</cp:coreProperties>
</file>

<file path=docProps/custom.xml><?xml version="1.0" encoding="utf-8"?>
<Properties xmlns="http://schemas.openxmlformats.org/officeDocument/2006/custom-properties" xmlns:vt="http://schemas.openxmlformats.org/officeDocument/2006/docPropsVTypes"/>
</file>