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937b713334f2f91a64c9fd52c680fe2d9b6054"/>
    <w:p>
      <w:pPr>
        <w:pStyle w:val="Heading1"/>
      </w:pPr>
      <w:r>
        <w:t xml:space="preserve">Devon Energy (DVN) — Q2 2026 Earnings Preview</w:t>
      </w:r>
    </w:p>
    <w:p>
      <w:pPr>
        <w:pStyle w:val="BlockText"/>
      </w:pPr>
      <w:r>
        <w:rPr>
          <w:b/>
          <w:bCs/>
        </w:rPr>
        <w:t xml:space="preserve">Timing clarification:</w:t>
      </w:r>
      <w:r>
        <w:t xml:space="preserve"> </w:t>
      </w:r>
      <w:r>
        <w:t xml:space="preserve">Devon will release Q2 results</w:t>
      </w:r>
      <w:r>
        <w:t xml:space="preserve"> </w:t>
      </w:r>
      <w:r>
        <w:rPr>
          <w:b/>
          <w:bCs/>
        </w:rPr>
        <w:t xml:space="preserve">today, Tuesday, August 4, after the market closes</w:t>
      </w:r>
      <w:r>
        <w:t xml:space="preserve">. The earnings call is</w:t>
      </w:r>
      <w:r>
        <w:t xml:space="preserve"> </w:t>
      </w:r>
      <w:r>
        <w:rPr>
          <w:b/>
          <w:bCs/>
        </w:rPr>
        <w:t xml:space="preserve">tomorrow, Wednesday, August 5, at 11:00 a.m. ET</w:t>
      </w:r>
      <w:r>
        <w:t xml:space="preserve">. (</w:t>
      </w:r>
      <w:hyperlink r:id="rId9">
        <w:r>
          <w:rPr>
            <w:rStyle w:val="Hyperlink"/>
          </w:rPr>
          <w:t xml:space="preserve">marketbeat.com</w:t>
        </w:r>
      </w:hyperlink>
      <w:r>
        <w:t xml:space="preserve">)</w:t>
      </w:r>
    </w:p>
    <w:bookmarkStart w:id="11" w:name="investment-setup"/>
    <w:p>
      <w:pPr>
        <w:pStyle w:val="Heading2"/>
      </w:pPr>
      <w:r>
        <w:t xml:space="preserve">Investment setup</w:t>
      </w:r>
    </w:p>
    <w:p>
      <w:pPr>
        <w:pStyle w:val="FirstParagraph"/>
      </w:pPr>
      <w:r>
        <w:t xml:space="preserve">This is less a conventional quarterly earnings report than the</w:t>
      </w:r>
      <w:r>
        <w:t xml:space="preserve"> </w:t>
      </w:r>
      <w:r>
        <w:rPr>
          <w:b/>
          <w:bCs/>
        </w:rPr>
        <w:t xml:space="preserve">first major operating checkpoint for the combined Devon–Coterra company</w:t>
      </w:r>
      <w:r>
        <w:t xml:space="preserve">. The merger closed on May 7, so reported Q2 results will include legacy Devon for the full quarter but Coterra only from May 7 onward. That creates acquisition-accounting noise and makes revenue, earnings and year-over-year comparisons less useful than production, capital spending, costs, synergies and cash allocation. (</w:t>
      </w:r>
      <w:hyperlink r:id="rId10">
        <w:r>
          <w:rPr>
            <w:rStyle w:val="Hyperlink"/>
          </w:rPr>
          <w:t xml:space="preserve">investors.devonenergy.com</w:t>
        </w:r>
      </w:hyperlink>
      <w:r>
        <w:t xml:space="preserve">)</w:t>
      </w:r>
    </w:p>
    <w:p>
      <w:pPr>
        <w:pStyle w:val="BodyText"/>
      </w:pPr>
      <w:r>
        <w:t xml:space="preserve">The central question is whether the new Devon can quickly convert its larger asset base—particularly its dominant Delaware Basin position—into lower well costs, stronger free cash flow and more aggressive shareholder returns without compromising the balance sheet.</w:t>
      </w:r>
    </w:p>
    <w:bookmarkEnd w:id="11"/>
    <w:bookmarkStart w:id="13" w:name="numbers-to-watch"/>
    <w:p>
      <w:pPr>
        <w:pStyle w:val="Heading2"/>
      </w:pPr>
      <w:r>
        <w:t xml:space="preserve">Numbers to watch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Current expectation / guidance</w:t>
            </w:r>
          </w:p>
        </w:tc>
        <w:tc>
          <w:tcPr/>
          <w:p>
            <w:pPr>
              <w:pStyle w:val="Compact"/>
            </w:pPr>
            <w:r>
              <w:t xml:space="preserve">What matters</w:t>
            </w:r>
          </w:p>
        </w:tc>
      </w:tr>
      <w:tr>
        <w:tc>
          <w:tcPr/>
          <w:p>
            <w:pPr>
              <w:pStyle w:val="Compact"/>
            </w:pPr>
            <w:r>
              <w:t xml:space="preserve">Adjusted EPS consensus</w:t>
            </w:r>
          </w:p>
        </w:tc>
        <w:tc>
          <w:tcPr/>
          <w:p>
            <w:pPr>
              <w:pStyle w:val="Compact"/>
              <w:jc w:val="right"/>
            </w:pPr>
            <w:r>
              <w:t xml:space="preserve">Approximately</w:t>
            </w:r>
            <w:r>
              <w:t xml:space="preserve"> </w:t>
            </w:r>
            <m:oMath>
              <m:r>
                <m:t>1.40</m:t>
              </m:r>
              <m:r>
                <m:rPr>
                  <m:sty m:val="p"/>
                </m:rPr>
                <m:t>–</m:t>
              </m:r>
            </m:oMath>
            <w:r>
              <w:rPr>
                <w:b/>
                <w:bCs/>
              </w:rPr>
              <w:t xml:space="preserve">1.43</w:t>
            </w:r>
          </w:p>
        </w:tc>
        <w:tc>
          <w:tcPr/>
          <w:p>
            <w:pPr>
              <w:pStyle w:val="Compact"/>
            </w:pPr>
            <w:r>
              <w:t xml:space="preserve">Useful headline, but distorted by merger timing and purchase accounting</w:t>
            </w:r>
          </w:p>
        </w:tc>
      </w:tr>
      <w:tr>
        <w:tc>
          <w:tcPr/>
          <w:p>
            <w:pPr>
              <w:pStyle w:val="Compact"/>
            </w:pPr>
            <w:r>
              <w:t xml:space="preserve">Revenue consensus</w:t>
            </w:r>
          </w:p>
        </w:tc>
        <w:tc>
          <w:tcPr/>
          <w:p>
            <w:pPr>
              <w:pStyle w:val="Compact"/>
              <w:jc w:val="right"/>
            </w:pPr>
            <w:r>
              <w:t xml:space="preserve">Approximately</w:t>
            </w:r>
            <w:r>
              <w:t xml:space="preserve"> </w:t>
            </w:r>
            <m:oMath>
              <m:r>
                <m:t>5.95</m:t>
              </m:r>
              <m:r>
                <m:rPr>
                  <m:sty m:val="p"/>
                </m:rPr>
                <m:t>–</m:t>
              </m:r>
            </m:oMath>
            <w:r>
              <w:rPr>
                <w:b/>
                <w:bCs/>
              </w:rPr>
              <w:t xml:space="preserve">6.01B</w:t>
            </w:r>
          </w:p>
        </w:tc>
        <w:tc>
          <w:tcPr/>
          <w:p>
            <w:pPr>
              <w:pStyle w:val="Compact"/>
            </w:pPr>
            <w:r>
              <w:t xml:space="preserve">Less informative than production and realized pricing</w:t>
            </w:r>
          </w:p>
        </w:tc>
      </w:tr>
      <w:tr>
        <w:tc>
          <w:tcPr/>
          <w:p>
            <w:pPr>
              <w:pStyle w:val="Compact"/>
            </w:pPr>
            <w:r>
              <w:t xml:space="preserve">Total production</w:t>
            </w:r>
          </w:p>
        </w:tc>
        <w:tc>
          <w:tcPr/>
          <w:p>
            <w:pPr>
              <w:pStyle w:val="Compact"/>
              <w:jc w:val="right"/>
            </w:pPr>
            <w:r>
              <w:rPr>
                <w:b/>
                <w:bCs/>
              </w:rPr>
              <w:t xml:space="preserve">1.315–1.360 MMBoe/d</w:t>
            </w:r>
          </w:p>
        </w:tc>
        <w:tc>
          <w:tcPr/>
          <w:p>
            <w:pPr>
              <w:pStyle w:val="Compact"/>
            </w:pPr>
            <w:r>
              <w:t xml:space="preserve">Midpoint: roughly</w:t>
            </w:r>
            <w:r>
              <w:t xml:space="preserve"> </w:t>
            </w:r>
            <w:r>
              <w:rPr>
                <w:b/>
                <w:bCs/>
              </w:rPr>
              <w:t xml:space="preserve">1.338 MMBoe/d</w:t>
            </w:r>
          </w:p>
        </w:tc>
      </w:tr>
      <w:tr>
        <w:tc>
          <w:tcPr/>
          <w:p>
            <w:pPr>
              <w:pStyle w:val="Compact"/>
            </w:pPr>
            <w:r>
              <w:t xml:space="preserve">Oil production</w:t>
            </w:r>
          </w:p>
        </w:tc>
        <w:tc>
          <w:tcPr/>
          <w:p>
            <w:pPr>
              <w:pStyle w:val="Compact"/>
              <w:jc w:val="right"/>
            </w:pPr>
            <w:r>
              <w:rPr>
                <w:b/>
                <w:bCs/>
              </w:rPr>
              <w:t xml:space="preserve">485–505 Mbbl/d</w:t>
            </w:r>
          </w:p>
        </w:tc>
        <w:tc>
          <w:tcPr/>
          <w:p>
            <w:pPr>
              <w:pStyle w:val="Compact"/>
            </w:pPr>
            <w:r>
              <w:t xml:space="preserve">Midpoint:</w:t>
            </w:r>
            <w:r>
              <w:t xml:space="preserve"> </w:t>
            </w:r>
            <w:r>
              <w:rPr>
                <w:b/>
                <w:bCs/>
              </w:rPr>
              <w:t xml:space="preserve">495 Mbbl/d</w:t>
            </w:r>
          </w:p>
        </w:tc>
      </w:tr>
      <w:tr>
        <w:tc>
          <w:tcPr/>
          <w:p>
            <w:pPr>
              <w:pStyle w:val="Compact"/>
            </w:pPr>
            <w:r>
              <w:t xml:space="preserve">NGL production</w:t>
            </w:r>
          </w:p>
        </w:tc>
        <w:tc>
          <w:tcPr/>
          <w:p>
            <w:pPr>
              <w:pStyle w:val="Compact"/>
              <w:jc w:val="right"/>
            </w:pPr>
            <w:r>
              <w:rPr>
                <w:b/>
                <w:bCs/>
              </w:rPr>
              <w:t xml:space="preserve">305–315 Mbbl/d</w:t>
            </w:r>
          </w:p>
        </w:tc>
        <w:tc>
          <w:tcPr/>
          <w:p>
            <w:pPr>
              <w:pStyle w:val="Compact"/>
            </w:pPr>
            <w:r>
              <w:t xml:space="preserve">Watch realizations as well as volumes</w:t>
            </w:r>
          </w:p>
        </w:tc>
      </w:tr>
      <w:tr>
        <w:tc>
          <w:tcPr/>
          <w:p>
            <w:pPr>
              <w:pStyle w:val="Compact"/>
            </w:pPr>
            <w:r>
              <w:t xml:space="preserve">Natural-gas production</w:t>
            </w:r>
          </w:p>
        </w:tc>
        <w:tc>
          <w:tcPr/>
          <w:p>
            <w:pPr>
              <w:pStyle w:val="Compact"/>
              <w:jc w:val="right"/>
            </w:pPr>
            <w:r>
              <w:rPr>
                <w:b/>
                <w:bCs/>
              </w:rPr>
              <w:t xml:space="preserve">3.15–3.25 Bcf/d</w:t>
            </w:r>
          </w:p>
        </w:tc>
        <w:tc>
          <w:tcPr/>
          <w:p>
            <w:pPr>
              <w:pStyle w:val="Compact"/>
            </w:pPr>
            <w:r>
              <w:t xml:space="preserve">Pricing and basis exposure are key</w:t>
            </w:r>
          </w:p>
        </w:tc>
      </w:tr>
      <w:tr>
        <w:tc>
          <w:tcPr/>
          <w:p>
            <w:pPr>
              <w:pStyle w:val="Compact"/>
            </w:pPr>
            <w:r>
              <w:t xml:space="preserve">Q2 capital spending</w:t>
            </w:r>
          </w:p>
        </w:tc>
        <w:tc>
          <w:tcPr/>
          <w:p>
            <w:pPr>
              <w:pStyle w:val="Compact"/>
              <w:jc w:val="right"/>
            </w:pPr>
            <m:oMath>
              <m:r>
                <m:t>1.25</m:t>
              </m:r>
              <m:r>
                <m:rPr>
                  <m:sty m:val="p"/>
                </m:rPr>
                <m:t>–</m:t>
              </m:r>
            </m:oMath>
            <w:r>
              <w:rPr>
                <w:b/>
                <w:bCs/>
              </w:rPr>
              <w:t xml:space="preserve">1.35B</w:t>
            </w:r>
          </w:p>
        </w:tc>
        <w:tc>
          <w:tcPr/>
          <w:p>
            <w:pPr>
              <w:pStyle w:val="Compact"/>
            </w:pPr>
            <w:r>
              <w:t xml:space="preserve">A result near the low end with volumes near the high end would be strong</w:t>
            </w:r>
          </w:p>
        </w:tc>
      </w:tr>
      <w:tr>
        <w:tc>
          <w:tcPr/>
          <w:p>
            <w:pPr>
              <w:pStyle w:val="Compact"/>
            </w:pPr>
            <w:r>
              <w:t xml:space="preserve">Lease operating expense</w:t>
            </w:r>
          </w:p>
        </w:tc>
        <w:tc>
          <w:tcPr/>
          <w:p>
            <w:pPr>
              <w:pStyle w:val="Compact"/>
              <w:jc w:val="right"/>
            </w:pPr>
            <m:oMath>
              <m:r>
                <m:t>5.00</m:t>
              </m:r>
              <m:r>
                <m:rPr>
                  <m:sty m:val="p"/>
                </m:rPr>
                <m:t>–</m:t>
              </m:r>
            </m:oMath>
            <w:r>
              <w:rPr>
                <w:b/>
                <w:bCs/>
              </w:rPr>
              <w:t xml:space="preserve">5.20/Boe</w:t>
            </w:r>
          </w:p>
        </w:tc>
        <w:tc>
          <w:tcPr/>
          <w:p>
            <w:pPr>
              <w:pStyle w:val="Compact"/>
            </w:pPr>
            <w:r>
              <w:t xml:space="preserve">Early integration-efficiency indicator</w:t>
            </w:r>
          </w:p>
        </w:tc>
      </w:tr>
      <w:tr>
        <w:tc>
          <w:tcPr/>
          <w:p>
            <w:pPr>
              <w:pStyle w:val="Compact"/>
            </w:pPr>
            <w:r>
              <w:t xml:space="preserve">Gathering, processing and transportation</w:t>
            </w:r>
          </w:p>
        </w:tc>
        <w:tc>
          <w:tcPr/>
          <w:p>
            <w:pPr>
              <w:pStyle w:val="Compact"/>
              <w:jc w:val="right"/>
            </w:pPr>
            <m:oMath>
              <m:r>
                <m:t>3.20</m:t>
              </m:r>
              <m:r>
                <m:rPr>
                  <m:sty m:val="p"/>
                </m:rPr>
                <m:t>–</m:t>
              </m:r>
            </m:oMath>
            <w:r>
              <w:rPr>
                <w:b/>
                <w:bCs/>
              </w:rPr>
              <w:t xml:space="preserve">3.40/Boe</w:t>
            </w:r>
          </w:p>
        </w:tc>
        <w:tc>
          <w:tcPr/>
          <w:p>
            <w:pPr>
              <w:pStyle w:val="Compact"/>
            </w:pPr>
            <w:r>
              <w:t xml:space="preserve">Important synergy and margin benchmark</w:t>
            </w:r>
          </w:p>
        </w:tc>
      </w:tr>
      <w:tr>
        <w:tc>
          <w:tcPr/>
          <w:p>
            <w:pPr>
              <w:pStyle w:val="Compact"/>
            </w:pPr>
            <w:r>
              <w:t xml:space="preserve">Current tax rate</w:t>
            </w:r>
          </w:p>
        </w:tc>
        <w:tc>
          <w:tcPr/>
          <w:p>
            <w:pPr>
              <w:pStyle w:val="Compact"/>
              <w:jc w:val="right"/>
            </w:pPr>
            <w:r>
              <w:rPr>
                <w:b/>
                <w:bCs/>
              </w:rPr>
              <w:t xml:space="preserve">19%–21%</w:t>
            </w:r>
          </w:p>
        </w:tc>
        <w:tc>
          <w:tcPr/>
          <w:p>
            <w:pPr>
              <w:pStyle w:val="Compact"/>
            </w:pPr>
            <w:r>
              <w:t xml:space="preserve">Higher than Q1 and a potential cash-flow headwind</w:t>
            </w:r>
          </w:p>
        </w:tc>
      </w:tr>
    </w:tbl>
    <w:p>
      <w:pPr>
        <w:pStyle w:val="BodyText"/>
      </w:pPr>
      <w:r>
        <w:t xml:space="preserve">Consensus sources indicate adjusted EPS around</w:t>
      </w:r>
      <w:r>
        <w:t xml:space="preserve"> </w:t>
      </w:r>
      <m:oMath>
        <m:r>
          <m:t>1.40</m:t>
        </m:r>
        <m:r>
          <m:rPr>
            <m:sty m:val="p"/>
          </m:rPr>
          <m:t>–</m:t>
        </m:r>
      </m:oMath>
      <w:r>
        <w:t xml:space="preserve">1.43 and revenue around $6 billion. Devon’s official guidance provides the operating ranges above. (</w:t>
      </w:r>
      <w:hyperlink r:id="rId12">
        <w:r>
          <w:rPr>
            <w:rStyle w:val="Hyperlink"/>
          </w:rPr>
          <w:t xml:space="preserve">tipranks.com</w:t>
        </w:r>
      </w:hyperlink>
      <w:r>
        <w:t xml:space="preserve">)</w:t>
      </w:r>
    </w:p>
    <w:bookmarkEnd w:id="13"/>
    <w:bookmarkStart w:id="22" w:name="Xef546253579ef8c916259a1db92df85cdd0c784"/>
    <w:p>
      <w:pPr>
        <w:pStyle w:val="Heading2"/>
      </w:pPr>
      <w:r>
        <w:t xml:space="preserve">The five issues that should drive the reaction</w:t>
      </w:r>
    </w:p>
    <w:bookmarkStart w:id="15" w:name="X151b060e711d03d0cffce0da4549ccf14bfbbbe"/>
    <w:p>
      <w:pPr>
        <w:pStyle w:val="Heading3"/>
      </w:pPr>
      <w:r>
        <w:t xml:space="preserve">1. Production versus capital: the cleanest measure of execution</w:t>
      </w:r>
    </w:p>
    <w:p>
      <w:pPr>
        <w:pStyle w:val="FirstParagraph"/>
      </w:pPr>
      <w:r>
        <w:t xml:space="preserve">The highest-quality outcome would be:</w:t>
      </w:r>
    </w:p>
    <w:p>
      <w:pPr>
        <w:pStyle w:val="Compact"/>
        <w:numPr>
          <w:ilvl w:val="0"/>
          <w:numId w:val="1001"/>
        </w:numPr>
      </w:pPr>
      <w:r>
        <w:t xml:space="preserve">Total production near or above</w:t>
      </w:r>
      <w:r>
        <w:t xml:space="preserve"> </w:t>
      </w:r>
      <w:r>
        <w:rPr>
          <w:b/>
          <w:bCs/>
        </w:rPr>
        <w:t xml:space="preserve">1.360 MMBoe/d</w:t>
      </w:r>
    </w:p>
    <w:p>
      <w:pPr>
        <w:pStyle w:val="Compact"/>
        <w:numPr>
          <w:ilvl w:val="0"/>
          <w:numId w:val="1001"/>
        </w:numPr>
      </w:pPr>
      <w:r>
        <w:t xml:space="preserve">Oil production near or above</w:t>
      </w:r>
      <w:r>
        <w:t xml:space="preserve"> </w:t>
      </w:r>
      <w:r>
        <w:rPr>
          <w:b/>
          <w:bCs/>
        </w:rPr>
        <w:t xml:space="preserve">505 Mbbl/d</w:t>
      </w:r>
    </w:p>
    <w:p>
      <w:pPr>
        <w:pStyle w:val="Compact"/>
        <w:numPr>
          <w:ilvl w:val="0"/>
          <w:numId w:val="1001"/>
        </w:numPr>
      </w:pPr>
      <w:r>
        <w:t xml:space="preserve">Capital spending near or below</w:t>
      </w:r>
      <w:r>
        <w:t xml:space="preserve"> </w:t>
      </w:r>
      <w:r>
        <w:rPr>
          <w:b/>
          <w:bCs/>
        </w:rPr>
        <w:t xml:space="preserve">$1.25B</w:t>
      </w:r>
    </w:p>
    <w:p>
      <w:pPr>
        <w:pStyle w:val="Compact"/>
        <w:numPr>
          <w:ilvl w:val="0"/>
          <w:numId w:val="1001"/>
        </w:numPr>
      </w:pPr>
      <w:r>
        <w:t xml:space="preserve">No deterioration in second-half production expectations</w:t>
      </w:r>
    </w:p>
    <w:p>
      <w:pPr>
        <w:pStyle w:val="FirstParagraph"/>
      </w:pPr>
      <w:r>
        <w:t xml:space="preserve">Legacy Devon entered Q2 with momentum: Q1 oil production reached the top of guidance, while capital spending came in 6% below the midpoint. Management attributed that performance to cost control, drilling efficiencies and production optimization. (</w:t>
      </w:r>
      <w:hyperlink r:id="rId14">
        <w:r>
          <w:rPr>
            <w:rStyle w:val="Hyperlink"/>
          </w:rPr>
          <w:t xml:space="preserve">sec.gov</w:t>
        </w:r>
      </w:hyperlink>
      <w:r>
        <w:t xml:space="preserve">)</w:t>
      </w:r>
    </w:p>
    <w:p>
      <w:pPr>
        <w:pStyle w:val="BodyText"/>
      </w:pPr>
      <w:r>
        <w:t xml:space="preserve">Given the partial-quarter inclusion of Coterra, a simple production beat will not be sufficient. Investors should determine whether any upside came from</w:t>
      </w:r>
      <w:r>
        <w:t xml:space="preserve"> </w:t>
      </w:r>
      <w:r>
        <w:rPr>
          <w:b/>
          <w:bCs/>
        </w:rPr>
        <w:t xml:space="preserve">sustainable well-cost and productivity gains</w:t>
      </w:r>
      <w:r>
        <w:t xml:space="preserve"> </w:t>
      </w:r>
      <w:r>
        <w:t xml:space="preserve">rather than acquisition timing, working-interest adjustments or accelerated spending.</w:t>
      </w:r>
    </w:p>
    <w:bookmarkEnd w:id="15"/>
    <w:bookmarkStart w:id="16" w:name="X587f55b28a9305c3a5080fa3f67525b3668df91"/>
    <w:p>
      <w:pPr>
        <w:pStyle w:val="Heading3"/>
      </w:pPr>
      <w:r>
        <w:t xml:space="preserve">2. Full-year guidance is likely more important than Q2 EPS</w:t>
      </w:r>
    </w:p>
    <w:p>
      <w:pPr>
        <w:pStyle w:val="FirstParagraph"/>
      </w:pPr>
      <w:r>
        <w:t xml:space="preserve">Devon currently guides to:</w:t>
      </w:r>
    </w:p>
    <w:p>
      <w:pPr>
        <w:pStyle w:val="Compact"/>
        <w:numPr>
          <w:ilvl w:val="0"/>
          <w:numId w:val="1002"/>
        </w:numPr>
      </w:pPr>
      <w:r>
        <w:rPr>
          <w:b/>
          <w:bCs/>
        </w:rPr>
        <w:t xml:space="preserve">1.355–1.405 MMBoe/d</w:t>
      </w:r>
      <w:r>
        <w:t xml:space="preserve"> </w:t>
      </w:r>
      <w:r>
        <w:t xml:space="preserve">of full-year production</w:t>
      </w:r>
    </w:p>
    <w:p>
      <w:pPr>
        <w:pStyle w:val="Compact"/>
        <w:numPr>
          <w:ilvl w:val="0"/>
          <w:numId w:val="1002"/>
        </w:numPr>
      </w:pPr>
      <w:r>
        <w:rPr>
          <w:b/>
          <w:bCs/>
        </w:rPr>
        <w:t xml:space="preserve">490–510 Mbbl/d</w:t>
      </w:r>
      <w:r>
        <w:t xml:space="preserve"> </w:t>
      </w:r>
      <w:r>
        <w:t xml:space="preserve">of oil</w:t>
      </w:r>
    </w:p>
    <w:p>
      <w:pPr>
        <w:pStyle w:val="Compact"/>
        <w:numPr>
          <w:ilvl w:val="0"/>
          <w:numId w:val="1002"/>
        </w:numPr>
      </w:pPr>
      <m:oMath>
        <m:r>
          <m:t>4.8</m:t>
        </m:r>
        <m:r>
          <m:rPr>
            <m:sty m:val="p"/>
          </m:rPr>
          <m:t>–</m:t>
        </m:r>
      </m:oMath>
      <w:r>
        <w:rPr>
          <w:b/>
          <w:bCs/>
        </w:rPr>
        <w:t xml:space="preserve">5.0B</w:t>
      </w:r>
      <w:r>
        <w:t xml:space="preserve"> </w:t>
      </w:r>
      <w:r>
        <w:t xml:space="preserve">of capital spending</w:t>
      </w:r>
    </w:p>
    <w:p>
      <w:pPr>
        <w:pStyle w:val="Compact"/>
        <w:numPr>
          <w:ilvl w:val="0"/>
          <w:numId w:val="1002"/>
        </w:numPr>
      </w:pPr>
      <w:r>
        <w:t xml:space="preserve">Approximately</w:t>
      </w:r>
      <w:r>
        <w:t xml:space="preserve"> </w:t>
      </w:r>
      <w:r>
        <w:rPr>
          <w:b/>
          <w:bCs/>
        </w:rPr>
        <w:t xml:space="preserve">31 rigs and 10 completion crews</w:t>
      </w:r>
    </w:p>
    <w:p>
      <w:pPr>
        <w:pStyle w:val="Compact"/>
        <w:numPr>
          <w:ilvl w:val="0"/>
          <w:numId w:val="1002"/>
        </w:numPr>
      </w:pPr>
      <w:r>
        <w:rPr>
          <w:b/>
          <w:bCs/>
        </w:rPr>
        <w:t xml:space="preserve">460–480 net wells</w:t>
      </w:r>
      <w:r>
        <w:t xml:space="preserve"> </w:t>
      </w:r>
      <w:r>
        <w:t xml:space="preserve">placed online</w:t>
      </w:r>
    </w:p>
    <w:p>
      <w:pPr>
        <w:pStyle w:val="Compact"/>
        <w:numPr>
          <w:ilvl w:val="0"/>
          <w:numId w:val="1002"/>
        </w:numPr>
      </w:pPr>
      <w:r>
        <w:t xml:space="preserve">More than 60% of capital directed to the Permian Basin</w:t>
      </w:r>
    </w:p>
    <w:p>
      <w:pPr>
        <w:pStyle w:val="FirstParagraph"/>
      </w:pPr>
      <w:r>
        <w:t xml:space="preserve">The ideal revision would be production moving toward the upper half of the range while capital remains around—or below—the $4.9 billion midpoint. A capital increase justified by higher commodity prices would probably be received poorly unless accompanied by unusually attractive near-term returns. (</w:t>
      </w:r>
      <w:hyperlink r:id="rId10">
        <w:r>
          <w:rPr>
            <w:rStyle w:val="Hyperlink"/>
          </w:rPr>
          <w:t xml:space="preserve">investors.devonenergy.com</w:t>
        </w:r>
      </w:hyperlink>
      <w:r>
        <w:t xml:space="preserve">)</w:t>
      </w:r>
    </w:p>
    <w:p>
      <w:pPr>
        <w:pStyle w:val="BodyText"/>
      </w:pPr>
      <w:r>
        <w:t xml:space="preserve">Management has repeatedly emphasized disciplined development rather than reacting to the front end of the oil curve. Investors will therefore look for confirmation that elevated oil prices are flowing primarily into</w:t>
      </w:r>
      <w:r>
        <w:t xml:space="preserve"> </w:t>
      </w:r>
      <w:r>
        <w:rPr>
          <w:b/>
          <w:bCs/>
        </w:rPr>
        <w:t xml:space="preserve">free cash flow, debt reduction and repurchases</w:t>
      </w:r>
      <w:r>
        <w:t xml:space="preserve">, not a broader drilling acceleration.</w:t>
      </w:r>
    </w:p>
    <w:bookmarkEnd w:id="16"/>
    <w:bookmarkStart w:id="17" w:name="X8baebd7e2ae9f1b9b0cc4788fa518db9e7f1590"/>
    <w:p>
      <w:pPr>
        <w:pStyle w:val="Heading3"/>
      </w:pPr>
      <w:r>
        <w:t xml:space="preserve">3. Merger synergies must start becoming measurable</w:t>
      </w:r>
    </w:p>
    <w:p>
      <w:pPr>
        <w:pStyle w:val="FirstParagraph"/>
      </w:pPr>
      <w:r>
        <w:t xml:space="preserve">Devon targets</w:t>
      </w:r>
      <w:r>
        <w:t xml:space="preserve"> </w:t>
      </w:r>
      <w:r>
        <w:rPr>
          <w:b/>
          <w:bCs/>
        </w:rPr>
        <w:t xml:space="preserve">$1 billion of annual pretax merger synergies on a run-rate basis by year-end 2027</w:t>
      </w:r>
      <w:r>
        <w:t xml:space="preserve">, including approximately $600 million of expected capture during 2027. The main categories are:</w:t>
      </w:r>
    </w:p>
    <w:p>
      <w:pPr>
        <w:pStyle w:val="Compact"/>
        <w:numPr>
          <w:ilvl w:val="0"/>
          <w:numId w:val="1003"/>
        </w:numPr>
      </w:pPr>
      <w:r>
        <w:t xml:space="preserve">Lower drilling and completion costs</w:t>
      </w:r>
    </w:p>
    <w:p>
      <w:pPr>
        <w:pStyle w:val="Compact"/>
        <w:numPr>
          <w:ilvl w:val="0"/>
          <w:numId w:val="1003"/>
        </w:numPr>
      </w:pPr>
      <w:r>
        <w:t xml:space="preserve">Operating-margin improvements</w:t>
      </w:r>
    </w:p>
    <w:p>
      <w:pPr>
        <w:pStyle w:val="Compact"/>
        <w:numPr>
          <w:ilvl w:val="0"/>
          <w:numId w:val="1003"/>
        </w:numPr>
      </w:pPr>
      <w:r>
        <w:t xml:space="preserve">Corporate-cost reductions</w:t>
      </w:r>
    </w:p>
    <w:p>
      <w:pPr>
        <w:pStyle w:val="Compact"/>
        <w:numPr>
          <w:ilvl w:val="0"/>
          <w:numId w:val="1003"/>
        </w:numPr>
      </w:pPr>
      <w:r>
        <w:t xml:space="preserve">Better capital allocation across the combined portfolio</w:t>
      </w:r>
    </w:p>
    <w:p>
      <w:pPr>
        <w:pStyle w:val="FirstParagraph"/>
      </w:pPr>
      <w:r>
        <w:t xml:space="preserve">Management has expressed high confidence in the target and has described it as achievable through applying each company’s best practices, particularly in the Delaware Basin. (</w:t>
      </w:r>
      <w:hyperlink r:id="rId10">
        <w:r>
          <w:rPr>
            <w:rStyle w:val="Hyperlink"/>
          </w:rPr>
          <w:t xml:space="preserve">investors.devonenergy.com</w:t>
        </w:r>
      </w:hyperlink>
      <w:r>
        <w:t xml:space="preserve">)</w:t>
      </w:r>
    </w:p>
    <w:p>
      <w:pPr>
        <w:pStyle w:val="BodyText"/>
      </w:pPr>
      <w:r>
        <w:t xml:space="preserve">The market will want more than qualitative enthusiasm. Useful disclosures would include:</w:t>
      </w:r>
    </w:p>
    <w:p>
      <w:pPr>
        <w:pStyle w:val="Compact"/>
        <w:numPr>
          <w:ilvl w:val="0"/>
          <w:numId w:val="1004"/>
        </w:numPr>
      </w:pPr>
      <w:r>
        <w:t xml:space="preserve">Synergies already reflected in 2026 guidance</w:t>
      </w:r>
    </w:p>
    <w:p>
      <w:pPr>
        <w:pStyle w:val="Compact"/>
        <w:numPr>
          <w:ilvl w:val="0"/>
          <w:numId w:val="1004"/>
        </w:numPr>
      </w:pPr>
      <w:r>
        <w:t xml:space="preserve">Expected year-end 2026 run-rate savings</w:t>
      </w:r>
    </w:p>
    <w:p>
      <w:pPr>
        <w:pStyle w:val="Compact"/>
        <w:numPr>
          <w:ilvl w:val="0"/>
          <w:numId w:val="1004"/>
        </w:numPr>
      </w:pPr>
      <w:r>
        <w:t xml:space="preserve">Concrete well-cost reductions in the Delaware</w:t>
      </w:r>
    </w:p>
    <w:p>
      <w:pPr>
        <w:pStyle w:val="Compact"/>
        <w:numPr>
          <w:ilvl w:val="0"/>
          <w:numId w:val="1004"/>
        </w:numPr>
      </w:pPr>
      <w:r>
        <w:t xml:space="preserve">G&amp;A reductions and employee-related integration costs</w:t>
      </w:r>
    </w:p>
    <w:p>
      <w:pPr>
        <w:pStyle w:val="Compact"/>
        <w:numPr>
          <w:ilvl w:val="0"/>
          <w:numId w:val="1004"/>
        </w:numPr>
      </w:pPr>
      <w:r>
        <w:t xml:space="preserve">Timing of systems, field and organizational integration</w:t>
      </w:r>
    </w:p>
    <w:p>
      <w:pPr>
        <w:pStyle w:val="Compact"/>
        <w:numPr>
          <w:ilvl w:val="0"/>
          <w:numId w:val="1004"/>
        </w:numPr>
      </w:pPr>
      <w:r>
        <w:t xml:space="preserve">Whether the $1 billion target remains a floor rather than a ceiling</w:t>
      </w:r>
    </w:p>
    <w:p>
      <w:pPr>
        <w:pStyle w:val="FirstParagraph"/>
      </w:pPr>
      <w:r>
        <w:t xml:space="preserve">A quantified acceleration would likely matter more to the stock than a modest EPS beat.</w:t>
      </w:r>
    </w:p>
    <w:bookmarkEnd w:id="17"/>
    <w:bookmarkStart w:id="20" w:name="X0dacd0960abfd671d5956fb27e7ee2eb097adcf"/>
    <w:p>
      <w:pPr>
        <w:pStyle w:val="Heading3"/>
      </w:pPr>
      <w:r>
        <w:t xml:space="preserve">4. Capital allocation credibility is under scrutiny</w:t>
      </w:r>
    </w:p>
    <w:p>
      <w:pPr>
        <w:pStyle w:val="FirstParagraph"/>
      </w:pPr>
      <w:r>
        <w:t xml:space="preserve">Following the merger, Devon approved:</w:t>
      </w:r>
    </w:p>
    <w:p>
      <w:pPr>
        <w:pStyle w:val="Compact"/>
        <w:numPr>
          <w:ilvl w:val="0"/>
          <w:numId w:val="1005"/>
        </w:numPr>
      </w:pPr>
      <w:r>
        <w:t xml:space="preserve">An</w:t>
      </w:r>
      <w:r>
        <w:t xml:space="preserve"> </w:t>
      </w:r>
      <w:r>
        <w:rPr>
          <w:b/>
          <w:bCs/>
        </w:rPr>
        <w:t xml:space="preserve">$8 billion share-repurchase authorization</w:t>
      </w:r>
    </w:p>
    <w:p>
      <w:pPr>
        <w:pStyle w:val="Compact"/>
        <w:numPr>
          <w:ilvl w:val="0"/>
          <w:numId w:val="1005"/>
        </w:numPr>
      </w:pPr>
      <w:r>
        <w:t xml:space="preserve">A</w:t>
      </w:r>
      <w:r>
        <w:t xml:space="preserve"> </w:t>
      </w:r>
      <w:r>
        <w:rPr>
          <w:b/>
          <w:bCs/>
        </w:rPr>
        <w:t xml:space="preserve">$0.32 quarterly dividend</w:t>
      </w:r>
      <w:r>
        <w:t xml:space="preserve">, up 33%</w:t>
      </w:r>
    </w:p>
    <w:p>
      <w:pPr>
        <w:pStyle w:val="Compact"/>
        <w:numPr>
          <w:ilvl w:val="0"/>
          <w:numId w:val="1005"/>
        </w:numPr>
      </w:pPr>
      <w:r>
        <w:t xml:space="preserve">A target of returning up to</w:t>
      </w:r>
      <w:r>
        <w:t xml:space="preserve"> </w:t>
      </w:r>
      <w:r>
        <w:rPr>
          <w:b/>
          <w:bCs/>
        </w:rPr>
        <w:t xml:space="preserve">70% of free cash flow</w:t>
      </w:r>
    </w:p>
    <w:p>
      <w:pPr>
        <w:pStyle w:val="Compact"/>
        <w:numPr>
          <w:ilvl w:val="0"/>
          <w:numId w:val="1005"/>
        </w:numPr>
      </w:pPr>
      <w:r>
        <w:t xml:space="preserve">Plans to retire approximately</w:t>
      </w:r>
      <w:r>
        <w:t xml:space="preserve"> </w:t>
      </w:r>
      <w:r>
        <w:rPr>
          <w:b/>
          <w:bCs/>
        </w:rPr>
        <w:t xml:space="preserve">$1.25 billion of debt in 2026</w:t>
      </w:r>
      <w:r>
        <w:t xml:space="preserve"> </w:t>
      </w:r>
      <w:r>
        <w:t xml:space="preserve">(</w:t>
      </w:r>
      <w:hyperlink r:id="rId18">
        <w:r>
          <w:rPr>
            <w:rStyle w:val="Hyperlink"/>
          </w:rPr>
          <w:t xml:space="preserve">globenewswire.com</w:t>
        </w:r>
      </w:hyperlink>
      <w:r>
        <w:t xml:space="preserve">)</w:t>
      </w:r>
    </w:p>
    <w:p>
      <w:pPr>
        <w:pStyle w:val="FirstParagraph"/>
      </w:pPr>
      <w:r>
        <w:t xml:space="preserve">Investors should focus on actual Q2 and July repurchase activity. The authorization represents capacity, not execution. A meaningful repurchase pace would demonstrate that management views the shares as undervalued and that the May acquisition has not displaced shareholder returns.</w:t>
      </w:r>
    </w:p>
    <w:p>
      <w:pPr>
        <w:pStyle w:val="BodyText"/>
      </w:pPr>
      <w:r>
        <w:t xml:space="preserve">That issue became more important after Devon spent approximately</w:t>
      </w:r>
      <w:r>
        <w:t xml:space="preserve"> </w:t>
      </w:r>
      <w:r>
        <w:rPr>
          <w:b/>
          <w:bCs/>
        </w:rPr>
        <w:t xml:space="preserve">$2.6 billion</w:t>
      </w:r>
      <w:r>
        <w:t xml:space="preserve"> </w:t>
      </w:r>
      <w:r>
        <w:t xml:space="preserve">for 16,300 undeveloped Delaware Basin acres. The acquisition added an estimated 400 two-mile drilling locations, but several analysts criticized the implied price per location. (</w:t>
      </w:r>
      <w:hyperlink r:id="rId19">
        <w:r>
          <w:rPr>
            <w:rStyle w:val="Hyperlink"/>
          </w:rPr>
          <w:t xml:space="preserve">investing.com</w:t>
        </w:r>
      </w:hyperlink>
      <w:r>
        <w:t xml:space="preserve">)</w:t>
      </w:r>
    </w:p>
    <w:p>
      <w:pPr>
        <w:pStyle w:val="BodyText"/>
      </w:pPr>
      <w:r>
        <w:t xml:space="preserve">Management therefore needs to reconcile four competing uses of cash:</w:t>
      </w:r>
    </w:p>
    <w:p>
      <w:pPr>
        <w:pStyle w:val="Compact"/>
        <w:numPr>
          <w:ilvl w:val="0"/>
          <w:numId w:val="1006"/>
        </w:numPr>
      </w:pPr>
      <w:r>
        <w:t xml:space="preserve">Buybacks</w:t>
      </w:r>
    </w:p>
    <w:p>
      <w:pPr>
        <w:pStyle w:val="Compact"/>
        <w:numPr>
          <w:ilvl w:val="0"/>
          <w:numId w:val="1006"/>
        </w:numPr>
      </w:pPr>
      <w:r>
        <w:t xml:space="preserve">Debt reduction</w:t>
      </w:r>
    </w:p>
    <w:p>
      <w:pPr>
        <w:pStyle w:val="Compact"/>
        <w:numPr>
          <w:ilvl w:val="0"/>
          <w:numId w:val="1006"/>
        </w:numPr>
      </w:pPr>
      <w:r>
        <w:t xml:space="preserve">The fixed dividend</w:t>
      </w:r>
    </w:p>
    <w:p>
      <w:pPr>
        <w:pStyle w:val="Compact"/>
        <w:numPr>
          <w:ilvl w:val="0"/>
          <w:numId w:val="1006"/>
        </w:numPr>
      </w:pPr>
      <w:r>
        <w:t xml:space="preserve">The Delaware acreage purchase</w:t>
      </w:r>
    </w:p>
    <w:p>
      <w:pPr>
        <w:pStyle w:val="FirstParagraph"/>
      </w:pPr>
      <w:r>
        <w:t xml:space="preserve">A weak buyback number or softer debt-reduction target could renew concerns that management is prioritizing inventory growth over per-share returns.</w:t>
      </w:r>
    </w:p>
    <w:bookmarkEnd w:id="20"/>
    <w:bookmarkStart w:id="21" w:name="X7c7473ede699232f4384bdf616a6069d4adf3e2"/>
    <w:p>
      <w:pPr>
        <w:pStyle w:val="Heading3"/>
      </w:pPr>
      <w:r>
        <w:t xml:space="preserve">5. Portfolio review could be the largest strategic catalyst</w:t>
      </w:r>
    </w:p>
    <w:p>
      <w:pPr>
        <w:pStyle w:val="FirstParagraph"/>
      </w:pPr>
      <w:r>
        <w:t xml:space="preserve">Devon has said it is moving quickly to concentrate the portfolio around its premier Permian position. Recent reports indicate it is considering a sale of the</w:t>
      </w:r>
      <w:r>
        <w:t xml:space="preserve"> </w:t>
      </w:r>
      <w:r>
        <w:rPr>
          <w:b/>
          <w:bCs/>
        </w:rPr>
        <w:t xml:space="preserve">Eagle Ford and Powder River Basin assets</w:t>
      </w:r>
      <w:r>
        <w:t xml:space="preserve">, potentially for more than $4 billion, although no transaction has been confirmed. (</w:t>
      </w:r>
      <w:hyperlink r:id="rId10">
        <w:r>
          <w:rPr>
            <w:rStyle w:val="Hyperlink"/>
          </w:rPr>
          <w:t xml:space="preserve">investors.devonenergy.com</w:t>
        </w:r>
      </w:hyperlink>
      <w:r>
        <w:t xml:space="preserve">)</w:t>
      </w:r>
    </w:p>
    <w:p>
      <w:pPr>
        <w:pStyle w:val="BodyText"/>
      </w:pPr>
      <w:r>
        <w:t xml:space="preserve">This may be the most consequential part of the call. Investors should listen for:</w:t>
      </w:r>
    </w:p>
    <w:p>
      <w:pPr>
        <w:pStyle w:val="Compact"/>
        <w:numPr>
          <w:ilvl w:val="0"/>
          <w:numId w:val="1007"/>
        </w:numPr>
      </w:pPr>
      <w:r>
        <w:t xml:space="preserve">Whether the two assets have formally entered a sale process</w:t>
      </w:r>
    </w:p>
    <w:p>
      <w:pPr>
        <w:pStyle w:val="Compact"/>
        <w:numPr>
          <w:ilvl w:val="0"/>
          <w:numId w:val="1007"/>
        </w:numPr>
      </w:pPr>
      <w:r>
        <w:t xml:space="preserve">Expected timing</w:t>
      </w:r>
    </w:p>
    <w:p>
      <w:pPr>
        <w:pStyle w:val="Compact"/>
        <w:numPr>
          <w:ilvl w:val="0"/>
          <w:numId w:val="1007"/>
        </w:numPr>
      </w:pPr>
      <w:r>
        <w:t xml:space="preserve">After-tax proceeds</w:t>
      </w:r>
    </w:p>
    <w:p>
      <w:pPr>
        <w:pStyle w:val="Compact"/>
        <w:numPr>
          <w:ilvl w:val="0"/>
          <w:numId w:val="1007"/>
        </w:numPr>
      </w:pPr>
      <w:r>
        <w:t xml:space="preserve">The use of proceeds</w:t>
      </w:r>
    </w:p>
    <w:p>
      <w:pPr>
        <w:pStyle w:val="Compact"/>
        <w:numPr>
          <w:ilvl w:val="0"/>
          <w:numId w:val="1007"/>
        </w:numPr>
      </w:pPr>
      <w:r>
        <w:t xml:space="preserve">Whether Marcellus or other non-Permian assets are also under review</w:t>
      </w:r>
    </w:p>
    <w:p>
      <w:pPr>
        <w:pStyle w:val="Compact"/>
        <w:numPr>
          <w:ilvl w:val="0"/>
          <w:numId w:val="1007"/>
        </w:numPr>
      </w:pPr>
      <w:r>
        <w:t xml:space="preserve">The targeted long-term oil/gas production mix</w:t>
      </w:r>
    </w:p>
    <w:p>
      <w:pPr>
        <w:pStyle w:val="FirstParagraph"/>
      </w:pPr>
      <w:r>
        <w:t xml:space="preserve">A credible sale program could simplify the story, reduce debt and fund substantial buybacks. Conversely, vague language after months of portfolio-review commentary could disappoint investors expecting concrete action.</w:t>
      </w:r>
    </w:p>
    <w:bookmarkEnd w:id="21"/>
    <w:bookmarkEnd w:id="22"/>
    <w:bookmarkStart w:id="23" w:name="Xcfbff43ec55a976708800d111ea4786b4f27bb9"/>
    <w:p>
      <w:pPr>
        <w:pStyle w:val="Heading2"/>
      </w:pPr>
      <w:r>
        <w:t xml:space="preserve">Commodity exposure: strong oil, complicated gas</w:t>
      </w:r>
    </w:p>
    <w:p>
      <w:pPr>
        <w:pStyle w:val="FirstParagraph"/>
      </w:pPr>
      <w:r>
        <w:t xml:space="preserve">The commodity backdrop should support cash generation, but Devon will not receive the full benefit of headline oil prices.</w:t>
      </w:r>
    </w:p>
    <w:p>
      <w:pPr>
        <w:pStyle w:val="BodyText"/>
      </w:pPr>
      <w:r>
        <w:t xml:space="preserve">As of May 31, the company had roughly 193,000 barrels per day covered by oil swaps or collars for the Q2–Q4 period. Much of the collar volume has ceilings near $73 per barrel, meaning hedge losses can offset part of the benefit when market prices exceed those levels. Devon nevertheless guides to Q2 oil realizations of</w:t>
      </w:r>
      <w:r>
        <w:t xml:space="preserve"> </w:t>
      </w:r>
      <w:r>
        <w:rPr>
          <w:b/>
          <w:bCs/>
        </w:rPr>
        <w:t xml:space="preserve">98%–102% of WTI</w:t>
      </w:r>
      <w:r>
        <w:t xml:space="preserve">, helped by marketing and export exposure. (</w:t>
      </w:r>
      <w:hyperlink r:id="rId10">
        <w:r>
          <w:rPr>
            <w:rStyle w:val="Hyperlink"/>
          </w:rPr>
          <w:t xml:space="preserve">investors.devonenergy.com</w:t>
        </w:r>
      </w:hyperlink>
      <w:r>
        <w:t xml:space="preserve">)</w:t>
      </w:r>
    </w:p>
    <w:p>
      <w:pPr>
        <w:pStyle w:val="BodyText"/>
      </w:pPr>
      <w:r>
        <w:t xml:space="preserve">Natural gas is more problematic. Devon guided Q2 gas realizations to only</w:t>
      </w:r>
      <w:r>
        <w:t xml:space="preserve"> </w:t>
      </w:r>
      <w:r>
        <w:rPr>
          <w:b/>
          <w:bCs/>
        </w:rPr>
        <w:t xml:space="preserve">10%–20% of Henry Hub</w:t>
      </w:r>
      <w:r>
        <w:t xml:space="preserve">, reflecting weak regional pricing and basis differentials, including Waha exposure. The combined company has substantial gas production, so reported revenue can look less impressive than headline Henry Hub prices imply. Hedging and transportation arrangements should mitigate—but not eliminate—the pressure. (</w:t>
      </w:r>
      <w:hyperlink r:id="rId10">
        <w:r>
          <w:rPr>
            <w:rStyle w:val="Hyperlink"/>
          </w:rPr>
          <w:t xml:space="preserve">investors.devonenergy.com</w:t>
        </w:r>
      </w:hyperlink>
      <w:r>
        <w:t xml:space="preserve">)</w:t>
      </w:r>
    </w:p>
    <w:p>
      <w:pPr>
        <w:pStyle w:val="BodyText"/>
      </w:pPr>
      <w:r>
        <w:t xml:space="preserve">Investors should therefore separate:</w:t>
      </w:r>
    </w:p>
    <w:p>
      <w:pPr>
        <w:pStyle w:val="Compact"/>
        <w:numPr>
          <w:ilvl w:val="0"/>
          <w:numId w:val="1008"/>
        </w:numPr>
      </w:pPr>
      <w:r>
        <w:t xml:space="preserve">Benchmark commodity prices</w:t>
      </w:r>
    </w:p>
    <w:p>
      <w:pPr>
        <w:pStyle w:val="Compact"/>
        <w:numPr>
          <w:ilvl w:val="0"/>
          <w:numId w:val="1008"/>
        </w:numPr>
      </w:pPr>
      <w:r>
        <w:t xml:space="preserve">Physical realizations</w:t>
      </w:r>
    </w:p>
    <w:p>
      <w:pPr>
        <w:pStyle w:val="Compact"/>
        <w:numPr>
          <w:ilvl w:val="0"/>
          <w:numId w:val="1008"/>
        </w:numPr>
      </w:pPr>
      <w:r>
        <w:t xml:space="preserve">Hedge gains or losses</w:t>
      </w:r>
    </w:p>
    <w:p>
      <w:pPr>
        <w:pStyle w:val="Compact"/>
        <w:numPr>
          <w:ilvl w:val="0"/>
          <w:numId w:val="1008"/>
        </w:numPr>
      </w:pPr>
      <w:r>
        <w:t xml:space="preserve">Basis and transportation effects</w:t>
      </w:r>
    </w:p>
    <w:bookmarkEnd w:id="23"/>
    <w:bookmarkStart w:id="24" w:name="what-would-constitute-a-strong-report"/>
    <w:p>
      <w:pPr>
        <w:pStyle w:val="Heading2"/>
      </w:pPr>
      <w:r>
        <w:t xml:space="preserve">What would constitute a strong report?</w:t>
      </w:r>
    </w:p>
    <w:p>
      <w:pPr>
        <w:pStyle w:val="FirstParagraph"/>
      </w:pPr>
      <w:r>
        <w:t xml:space="preserve">A clearly positive result would likely include most of the following:</w:t>
      </w:r>
    </w:p>
    <w:p>
      <w:pPr>
        <w:pStyle w:val="Compact"/>
        <w:numPr>
          <w:ilvl w:val="0"/>
          <w:numId w:val="1009"/>
        </w:numPr>
      </w:pPr>
      <w:r>
        <w:t xml:space="preserve">Oil and total production at or above the upper end of guidance</w:t>
      </w:r>
    </w:p>
    <w:p>
      <w:pPr>
        <w:pStyle w:val="Compact"/>
        <w:numPr>
          <w:ilvl w:val="0"/>
          <w:numId w:val="1009"/>
        </w:numPr>
      </w:pPr>
      <w:r>
        <w:t xml:space="preserve">Q2 capital at or below the midpoint</w:t>
      </w:r>
    </w:p>
    <w:p>
      <w:pPr>
        <w:pStyle w:val="Compact"/>
        <w:numPr>
          <w:ilvl w:val="0"/>
          <w:numId w:val="1009"/>
        </w:numPr>
      </w:pPr>
      <w:r>
        <w:t xml:space="preserve">Full-year production raised or tightened toward the high end</w:t>
      </w:r>
    </w:p>
    <w:p>
      <w:pPr>
        <w:pStyle w:val="Compact"/>
        <w:numPr>
          <w:ilvl w:val="0"/>
          <w:numId w:val="1009"/>
        </w:numPr>
      </w:pPr>
      <w:r>
        <w:t xml:space="preserve">Full-year capital maintained at approximately $4.9 billion or lower</w:t>
      </w:r>
    </w:p>
    <w:p>
      <w:pPr>
        <w:pStyle w:val="Compact"/>
        <w:numPr>
          <w:ilvl w:val="0"/>
          <w:numId w:val="1009"/>
        </w:numPr>
      </w:pPr>
      <w:r>
        <w:t xml:space="preserve">Quantified early merger savings</w:t>
      </w:r>
    </w:p>
    <w:p>
      <w:pPr>
        <w:pStyle w:val="Compact"/>
        <w:numPr>
          <w:ilvl w:val="0"/>
          <w:numId w:val="1009"/>
        </w:numPr>
      </w:pPr>
      <w:r>
        <w:t xml:space="preserve">A meaningful buyback number</w:t>
      </w:r>
    </w:p>
    <w:p>
      <w:pPr>
        <w:pStyle w:val="Compact"/>
        <w:numPr>
          <w:ilvl w:val="0"/>
          <w:numId w:val="1009"/>
        </w:numPr>
      </w:pPr>
      <w:r>
        <w:t xml:space="preserve">Reaffirmed debt reduction despite the acreage purchase</w:t>
      </w:r>
    </w:p>
    <w:p>
      <w:pPr>
        <w:pStyle w:val="Compact"/>
        <w:numPr>
          <w:ilvl w:val="0"/>
          <w:numId w:val="1009"/>
        </w:numPr>
      </w:pPr>
      <w:r>
        <w:t xml:space="preserve">Concrete action on Eagle Ford and Powder River</w:t>
      </w:r>
    </w:p>
    <w:p>
      <w:pPr>
        <w:pStyle w:val="Compact"/>
        <w:numPr>
          <w:ilvl w:val="0"/>
          <w:numId w:val="1009"/>
        </w:numPr>
      </w:pPr>
      <w:r>
        <w:t xml:space="preserve">No material increase in integration costs or operating expenses</w:t>
      </w:r>
    </w:p>
    <w:bookmarkEnd w:id="24"/>
    <w:bookmarkStart w:id="25" w:name="what-could-disappoint"/>
    <w:p>
      <w:pPr>
        <w:pStyle w:val="Heading2"/>
      </w:pPr>
      <w:r>
        <w:t xml:space="preserve">What could disappoint?</w:t>
      </w:r>
    </w:p>
    <w:p>
      <w:pPr>
        <w:pStyle w:val="FirstParagraph"/>
      </w:pPr>
      <w:r>
        <w:t xml:space="preserve">The main downside risks are:</w:t>
      </w:r>
    </w:p>
    <w:p>
      <w:pPr>
        <w:pStyle w:val="Compact"/>
        <w:numPr>
          <w:ilvl w:val="0"/>
          <w:numId w:val="1010"/>
        </w:numPr>
      </w:pPr>
      <w:r>
        <w:t xml:space="preserve">Production near the low end despite elevated capital spending</w:t>
      </w:r>
    </w:p>
    <w:p>
      <w:pPr>
        <w:pStyle w:val="Compact"/>
        <w:numPr>
          <w:ilvl w:val="0"/>
          <w:numId w:val="1010"/>
        </w:numPr>
      </w:pPr>
      <w:r>
        <w:t xml:space="preserve">A higher full-year capital budget</w:t>
      </w:r>
    </w:p>
    <w:p>
      <w:pPr>
        <w:pStyle w:val="Compact"/>
        <w:numPr>
          <w:ilvl w:val="0"/>
          <w:numId w:val="1010"/>
        </w:numPr>
      </w:pPr>
      <w:r>
        <w:t xml:space="preserve">Weak gas and NGL realizations</w:t>
      </w:r>
    </w:p>
    <w:p>
      <w:pPr>
        <w:pStyle w:val="Compact"/>
        <w:numPr>
          <w:ilvl w:val="0"/>
          <w:numId w:val="1010"/>
        </w:numPr>
      </w:pPr>
      <w:r>
        <w:t xml:space="preserve">Higher-than-expected cash taxes</w:t>
      </w:r>
    </w:p>
    <w:p>
      <w:pPr>
        <w:pStyle w:val="Compact"/>
        <w:numPr>
          <w:ilvl w:val="0"/>
          <w:numId w:val="1010"/>
        </w:numPr>
      </w:pPr>
      <w:r>
        <w:t xml:space="preserve">Limited buybacks following the $2.6 billion lease acquisition</w:t>
      </w:r>
    </w:p>
    <w:p>
      <w:pPr>
        <w:pStyle w:val="Compact"/>
        <w:numPr>
          <w:ilvl w:val="0"/>
          <w:numId w:val="1010"/>
        </w:numPr>
      </w:pPr>
      <w:r>
        <w:t xml:space="preserve">Slower synergy capture or sizable one-time integration costs</w:t>
      </w:r>
    </w:p>
    <w:p>
      <w:pPr>
        <w:pStyle w:val="Compact"/>
        <w:numPr>
          <w:ilvl w:val="0"/>
          <w:numId w:val="1010"/>
        </w:numPr>
      </w:pPr>
      <w:r>
        <w:t xml:space="preserve">No concrete portfolio action</w:t>
      </w:r>
    </w:p>
    <w:p>
      <w:pPr>
        <w:pStyle w:val="Compact"/>
        <w:numPr>
          <w:ilvl w:val="0"/>
          <w:numId w:val="1010"/>
        </w:numPr>
      </w:pPr>
      <w:r>
        <w:t xml:space="preserve">A strategy that uses stronger commodity prices to increase activity rather than improve per-share returns</w:t>
      </w:r>
    </w:p>
    <w:bookmarkEnd w:id="25"/>
    <w:bookmarkStart w:id="26" w:name="bottom-line"/>
    <w:p>
      <w:pPr>
        <w:pStyle w:val="Heading2"/>
      </w:pPr>
      <w:r>
        <w:t xml:space="preserve">Bottom line</w:t>
      </w:r>
    </w:p>
    <w:p>
      <w:pPr>
        <w:pStyle w:val="FirstParagraph"/>
      </w:pPr>
      <w:r>
        <w:t xml:space="preserve">The EPS print is unlikely to determine the durable stock reaction. This report is primarily a referendum on the</w:t>
      </w:r>
      <w:r>
        <w:t xml:space="preserve"> </w:t>
      </w:r>
      <w:r>
        <w:rPr>
          <w:b/>
          <w:bCs/>
        </w:rPr>
        <w:t xml:space="preserve">new Devon’s capital efficiency and capital allocation</w:t>
      </w:r>
      <w:r>
        <w:t xml:space="preserve">.</w:t>
      </w:r>
    </w:p>
    <w:p>
      <w:pPr>
        <w:pStyle w:val="BodyText"/>
      </w:pPr>
      <w:r>
        <w:t xml:space="preserve">The best outcome is a combination of high-end production, controlled spending, visible merger savings and decisive portfolio simplification. The most important test is whether management can prove that the Coterra merger and subsequent Delaware acquisition are increasing</w:t>
      </w:r>
      <w:r>
        <w:t xml:space="preserve"> </w:t>
      </w:r>
      <w:r>
        <w:rPr>
          <w:b/>
          <w:bCs/>
        </w:rPr>
        <w:t xml:space="preserve">free cash flow per share</w:t>
      </w:r>
      <w:r>
        <w:t xml:space="preserve">, not merely making Devon larger.</w:t>
      </w:r>
    </w:p>
    <w:p>
      <w:pPr>
        <w:pStyle w:val="BodyText"/>
      </w:pPr>
      <w:r>
        <w:t xml:space="preserve">Going into the report, the operational backdrop appears favorable. The burden is now on management to translate that backdrop into measurable synergies, buybacks, debt reduction and a clearer long-term portfolio.</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investors.devonenergy.com/investors/press-releases/press-release-details/2026/Devon-Energy-Provides-Updated-2026-Outlook/default.aspx" TargetMode="External" /><Relationship Type="http://schemas.openxmlformats.org/officeDocument/2006/relationships/hyperlink" Id="rId18" Target="https://www.globenewswire.com/news-release/2026/05/07/3290670/0/en/devon-energy-announces-capital-return-update.html?utm_source=openai" TargetMode="External" /><Relationship Type="http://schemas.openxmlformats.org/officeDocument/2006/relationships/hyperlink" Id="rId19" Target="https://www.investing.com/news/stock-market-news/devon-energy-explores-sale-of-shale-assets-worth-over-4bn-bloomberg-93CH-4812428?utm_source=openai" TargetMode="External" /><Relationship Type="http://schemas.openxmlformats.org/officeDocument/2006/relationships/hyperlink" Id="rId9" Target="https://www.marketbeat.com/earnings/reports/2026-8-4-devon-energy-co-stock/" TargetMode="External" /><Relationship Type="http://schemas.openxmlformats.org/officeDocument/2006/relationships/hyperlink" Id="rId14" Target="https://www.sec.gov/Archives/edgar/data/1090012/000119312526206689/d947371dex991.htm?utm_source=openai" TargetMode="External" /><Relationship Type="http://schemas.openxmlformats.org/officeDocument/2006/relationships/hyperlink" Id="rId12" Target="https://www.tipranks.com/stocks/dvn/earnings" TargetMode="External" /></Relationships>
</file>

<file path=word/_rels/footnotes.xml.rels><?xml version="1.0" encoding="UTF-8"?><Relationships xmlns="http://schemas.openxmlformats.org/package/2006/relationships"><Relationship Type="http://schemas.openxmlformats.org/officeDocument/2006/relationships/hyperlink" Id="rId10" Target="https://investors.devonenergy.com/investors/press-releases/press-release-details/2026/Devon-Energy-Provides-Updated-2026-Outlook/default.aspx" TargetMode="External" /><Relationship Type="http://schemas.openxmlformats.org/officeDocument/2006/relationships/hyperlink" Id="rId18" Target="https://www.globenewswire.com/news-release/2026/05/07/3290670/0/en/devon-energy-announces-capital-return-update.html?utm_source=openai" TargetMode="External" /><Relationship Type="http://schemas.openxmlformats.org/officeDocument/2006/relationships/hyperlink" Id="rId19" Target="https://www.investing.com/news/stock-market-news/devon-energy-explores-sale-of-shale-assets-worth-over-4bn-bloomberg-93CH-4812428?utm_source=openai" TargetMode="External" /><Relationship Type="http://schemas.openxmlformats.org/officeDocument/2006/relationships/hyperlink" Id="rId9" Target="https://www.marketbeat.com/earnings/reports/2026-8-4-devon-energy-co-stock/" TargetMode="External" /><Relationship Type="http://schemas.openxmlformats.org/officeDocument/2006/relationships/hyperlink" Id="rId14" Target="https://www.sec.gov/Archives/edgar/data/1090012/000119312526206689/d947371dex991.htm?utm_source=openai" TargetMode="External" /><Relationship Type="http://schemas.openxmlformats.org/officeDocument/2006/relationships/hyperlink" Id="rId12" Target="https://www.tipranks.com/stocks/dvn/earning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2026-08-04T01:57:25Z</dcterms:created>
  <dcterms:modified xsi:type="dcterms:W3CDTF">2026-08-04T01:57:25Z</dcterms:modified>
</cp:coreProperties>
</file>

<file path=docProps/custom.xml><?xml version="1.0" encoding="utf-8"?>
<Properties xmlns="http://schemas.openxmlformats.org/officeDocument/2006/custom-properties" xmlns:vt="http://schemas.openxmlformats.org/officeDocument/2006/docPropsVTypes"/>
</file>