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d6bed175d70fd200e702ba078b4b0d3f577b7a"/>
    <w:p>
      <w:pPr>
        <w:pStyle w:val="Heading1"/>
      </w:pPr>
      <w:r>
        <w:t xml:space="preserve">Devon Energy (NYSE: DVN) — 2Q26 Earnings Preview</w:t>
      </w:r>
    </w:p>
    <w:p>
      <w:pPr>
        <w:pStyle w:val="BlockText"/>
      </w:pPr>
      <w:r>
        <w:rPr>
          <w:b/>
          <w:bCs/>
        </w:rPr>
        <w:t xml:space="preserve">Timing correction:</w:t>
      </w:r>
      <w:r>
        <w:t xml:space="preserve"> </w:t>
      </w:r>
      <w:r>
        <w:t xml:space="preserve">Devon is scheduled to release 2Q26 results</w:t>
      </w:r>
      <w:r>
        <w:t xml:space="preserve"> </w:t>
      </w:r>
      <w:r>
        <w:rPr>
          <w:b/>
          <w:bCs/>
        </w:rPr>
        <w:t xml:space="preserve">today, Tuesday, August 4, 2026, after the U.S. market close</w:t>
      </w:r>
      <w:r>
        <w:t xml:space="preserve">—not tomorrow. Its investor call is</w:t>
      </w:r>
      <w:r>
        <w:t xml:space="preserve"> </w:t>
      </w:r>
      <w:r>
        <w:rPr>
          <w:b/>
          <w:bCs/>
        </w:rPr>
        <w:t xml:space="preserve">Wednesday, August 5 at 10:00 a.m. CDT / 11:00 a.m. EDT</w:t>
      </w:r>
      <w:r>
        <w:t xml:space="preserve">.</w:t>
      </w:r>
    </w:p>
    <w:bookmarkStart w:id="9" w:name="X6b7c1a461b180bd7113aa2741d36c0687a2dc6f"/>
    <w:p>
      <w:pPr>
        <w:pStyle w:val="Heading2"/>
      </w:pPr>
      <w:r>
        <w:t xml:space="preserve">Investment framing: this is the first real report card for the new Devon</w:t>
      </w:r>
    </w:p>
    <w:p>
      <w:pPr>
        <w:pStyle w:val="FirstParagraph"/>
      </w:pPr>
      <w:r>
        <w:t xml:space="preserve">This quarter is much more than an oil-and-gas earnings print. It is the first quarterly report since Devon completed its all-stock merger with Coterra on</w:t>
      </w:r>
      <w:r>
        <w:t xml:space="preserve"> </w:t>
      </w:r>
      <w:r>
        <w:rPr>
          <w:b/>
          <w:bCs/>
        </w:rPr>
        <w:t xml:space="preserve">May 7, 2026</w:t>
      </w:r>
      <w:r>
        <w:t xml:space="preserve">. Investors should expect reported earnings, production, capital spending, debt, share count, and cash flow to become less comparable with legacy-DVN history because the quarter includes Coterra results only from the merger-close date forward.</w:t>
      </w:r>
    </w:p>
    <w:p>
      <w:pPr>
        <w:pStyle w:val="BodyText"/>
      </w:pPr>
      <w:r>
        <w:t xml:space="preserve">The central question is therefore not simply whether DVN beats a near-term EPS number. It is whether management can demonstrate that the combined company is already delivering on the merger’s strategic logic:</w:t>
      </w:r>
    </w:p>
    <w:p>
      <w:pPr>
        <w:pStyle w:val="Compact"/>
        <w:numPr>
          <w:ilvl w:val="0"/>
          <w:numId w:val="1001"/>
        </w:numPr>
      </w:pPr>
      <w:r>
        <w:rPr>
          <w:b/>
          <w:bCs/>
        </w:rPr>
        <w:t xml:space="preserve">Better capital efficiency and production execution</w:t>
      </w:r>
    </w:p>
    <w:p>
      <w:pPr>
        <w:pStyle w:val="Compact"/>
        <w:numPr>
          <w:ilvl w:val="0"/>
          <w:numId w:val="1001"/>
        </w:numPr>
      </w:pPr>
      <w:r>
        <w:rPr>
          <w:b/>
          <w:bCs/>
        </w:rPr>
        <w:t xml:space="preserve">Credible early capture of the targeted $1 billion of annual pre-tax synergies</w:t>
      </w:r>
    </w:p>
    <w:p>
      <w:pPr>
        <w:pStyle w:val="Compact"/>
        <w:numPr>
          <w:ilvl w:val="0"/>
          <w:numId w:val="1001"/>
        </w:numPr>
      </w:pPr>
      <w:r>
        <w:rPr>
          <w:b/>
          <w:bCs/>
        </w:rPr>
        <w:t xml:space="preserve">Disciplined balance-sheet and shareholder-return policy despite large recent capital commitments</w:t>
      </w:r>
    </w:p>
    <w:p>
      <w:pPr>
        <w:pStyle w:val="Compact"/>
        <w:numPr>
          <w:ilvl w:val="0"/>
          <w:numId w:val="1001"/>
        </w:numPr>
      </w:pPr>
      <w:r>
        <w:rPr>
          <w:b/>
          <w:bCs/>
        </w:rPr>
        <w:t xml:space="preserve">A clear, investable operating outlook for the enlarged portfolio</w:t>
      </w:r>
    </w:p>
    <w:p>
      <w:pPr>
        <w:pStyle w:val="FirstParagraph"/>
      </w:pPr>
      <w:r>
        <w:t xml:space="preserve">DVN closed at</w:t>
      </w:r>
      <w:r>
        <w:t xml:space="preserve"> </w:t>
      </w:r>
      <w:r>
        <w:rPr>
          <w:b/>
          <w:bCs/>
        </w:rPr>
        <w:t xml:space="preserve">$44.58 on August 3</w:t>
      </w:r>
      <w:r>
        <w:t xml:space="preserve">, roughly 13% below its May 4 closing price of $51.26, suggesting the market remains cautious on merger integration, capital allocation, and commodity-price sensitivity going into the release.</w:t>
      </w:r>
    </w:p>
    <w:p>
      <w:r>
        <w:pict>
          <v:rect style="width:0;height:1.5pt" o:hralign="center" o:hrstd="t" o:hr="t"/>
        </w:pict>
      </w:r>
    </w:p>
    <w:bookmarkEnd w:id="9"/>
    <w:bookmarkStart w:id="11" w:name="what-to-expect-in-the-printed-quarter"/>
    <w:p>
      <w:pPr>
        <w:pStyle w:val="Heading2"/>
      </w:pPr>
      <w:r>
        <w:t xml:space="preserve">What to expect in the printed quarter</w:t>
      </w:r>
    </w:p>
    <w:bookmarkStart w:id="10" w:name="X3e9a48ec816b824aef8811665a0fc78e9588eeb"/>
    <w:p>
      <w:pPr>
        <w:pStyle w:val="Heading3"/>
      </w:pPr>
      <w:r>
        <w:t xml:space="preserve">1. Legacy Devon operational delivery should be solid—but it is no longer the whole story</w:t>
      </w:r>
    </w:p>
    <w:p>
      <w:pPr>
        <w:pStyle w:val="FirstParagraph"/>
      </w:pPr>
      <w:r>
        <w:t xml:space="preserve">Before the merger, Devon guided standalone 2Q26 production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Legacy-DVN 2Q26 guidance</w:t>
            </w:r>
          </w:p>
        </w:tc>
        <w:tc>
          <w:tcPr/>
          <w:p>
            <w:pPr>
              <w:pStyle w:val="Compact"/>
              <w:jc w:val="right"/>
            </w:pPr>
            <w:r>
              <w:t xml:space="preserve">Range</w:t>
            </w:r>
          </w:p>
        </w:tc>
      </w:tr>
      <w:tr>
        <w:tc>
          <w:tcPr/>
          <w:p>
            <w:pPr>
              <w:pStyle w:val="Compact"/>
            </w:pPr>
            <w:r>
              <w:t xml:space="preserve">Oil production</w:t>
            </w:r>
          </w:p>
        </w:tc>
        <w:tc>
          <w:tcPr/>
          <w:p>
            <w:pPr>
              <w:pStyle w:val="Compact"/>
              <w:jc w:val="right"/>
            </w:pPr>
            <w:r>
              <w:rPr>
                <w:b/>
                <w:bCs/>
              </w:rPr>
              <w:t xml:space="preserve">389–395 MBbl/d</w:t>
            </w:r>
          </w:p>
        </w:tc>
      </w:tr>
      <w:tr>
        <w:tc>
          <w:tcPr/>
          <w:p>
            <w:pPr>
              <w:pStyle w:val="Compact"/>
            </w:pPr>
            <w:r>
              <w:t xml:space="preserve">NGL production</w:t>
            </w:r>
          </w:p>
        </w:tc>
        <w:tc>
          <w:tcPr/>
          <w:p>
            <w:pPr>
              <w:pStyle w:val="Compact"/>
              <w:jc w:val="right"/>
            </w:pPr>
            <w:r>
              <w:rPr>
                <w:b/>
                <w:bCs/>
              </w:rPr>
              <w:t xml:space="preserve">230–235 MBbl/d</w:t>
            </w:r>
          </w:p>
        </w:tc>
      </w:tr>
      <w:tr>
        <w:tc>
          <w:tcPr/>
          <w:p>
            <w:pPr>
              <w:pStyle w:val="Compact"/>
            </w:pPr>
            <w:r>
              <w:t xml:space="preserve">Natural-gas production</w:t>
            </w:r>
          </w:p>
        </w:tc>
        <w:tc>
          <w:tcPr/>
          <w:p>
            <w:pPr>
              <w:pStyle w:val="Compact"/>
              <w:jc w:val="right"/>
            </w:pPr>
            <w:r>
              <w:rPr>
                <w:b/>
                <w:bCs/>
              </w:rPr>
              <w:t xml:space="preserve">1,390–1,430 MMcf/d</w:t>
            </w:r>
          </w:p>
        </w:tc>
      </w:tr>
      <w:tr>
        <w:tc>
          <w:tcPr/>
          <w:p>
            <w:pPr>
              <w:pStyle w:val="Compact"/>
            </w:pPr>
            <w:r>
              <w:t xml:space="preserve">Total production</w:t>
            </w:r>
          </w:p>
        </w:tc>
        <w:tc>
          <w:tcPr/>
          <w:p>
            <w:pPr>
              <w:pStyle w:val="Compact"/>
              <w:jc w:val="right"/>
            </w:pPr>
            <w:r>
              <w:rPr>
                <w:b/>
                <w:bCs/>
              </w:rPr>
              <w:t xml:space="preserve">851–868 MBoepd</w:t>
            </w:r>
          </w:p>
        </w:tc>
      </w:tr>
      <w:tr>
        <w:tc>
          <w:tcPr/>
          <w:p>
            <w:pPr>
              <w:pStyle w:val="Compact"/>
            </w:pPr>
            <w:r>
              <w:t xml:space="preserve">Capital expenditures</w:t>
            </w:r>
          </w:p>
        </w:tc>
        <w:tc>
          <w:tcPr/>
          <w:p>
            <w:pPr>
              <w:pStyle w:val="Compact"/>
              <w:jc w:val="right"/>
            </w:pPr>
            <w:r>
              <w:rPr>
                <w:b/>
                <w:bCs/>
              </w:rPr>
              <w:t xml:space="preserve">$875–925 million</w:t>
            </w:r>
          </w:p>
        </w:tc>
      </w:tr>
    </w:tbl>
    <w:p>
      <w:pPr>
        <w:pStyle w:val="BodyText"/>
      </w:pPr>
      <w:r>
        <w:t xml:space="preserve">That compared with 1Q26 legacy-DVN production of</w:t>
      </w:r>
      <w:r>
        <w:t xml:space="preserve"> </w:t>
      </w:r>
      <w:r>
        <w:rPr>
          <w:b/>
          <w:bCs/>
        </w:rPr>
        <w:t xml:space="preserve">833 MBoepd</w:t>
      </w:r>
      <w:r>
        <w:t xml:space="preserve">, including</w:t>
      </w:r>
      <w:r>
        <w:t xml:space="preserve"> </w:t>
      </w:r>
      <w:r>
        <w:rPr>
          <w:b/>
          <w:bCs/>
        </w:rPr>
        <w:t xml:space="preserve">387 MBbl/d of oil</w:t>
      </w:r>
      <w:r>
        <w:t xml:space="preserve">, and capital spending of</w:t>
      </w:r>
      <w:r>
        <w:t xml:space="preserve"> </w:t>
      </w:r>
      <w:r>
        <w:rPr>
          <w:b/>
          <w:bCs/>
        </w:rPr>
        <w:t xml:space="preserve">$848 million</w:t>
      </w:r>
      <w:r>
        <w:t xml:space="preserve">.</w:t>
      </w:r>
    </w:p>
    <w:p>
      <w:pPr>
        <w:pStyle w:val="BodyText"/>
      </w:pPr>
      <w:r>
        <w:t xml:space="preserve">For the legacy asset base, the clean operational setup is therefore modest sequential production growth, particularly in liquids, with spending stepping up only moderately. Investors should focus on whether Devon meets or exceeds the oil-volume guide while holding spending within the guided range. Oil remains the principal driver of cash flow and valuation.</w:t>
      </w:r>
    </w:p>
    <w:p>
      <w:pPr>
        <w:pStyle w:val="BodyText"/>
      </w:pPr>
      <w:r>
        <w:rPr>
          <w:b/>
          <w:bCs/>
        </w:rPr>
        <w:t xml:space="preserve">However, do not treat reported 2Q production or EPS as a clean guide-versus-actual test.</w:t>
      </w:r>
      <w:r>
        <w:t xml:space="preserve"> </w:t>
      </w:r>
      <w:r>
        <w:t xml:space="preserve">The consolidated financial statements should reflect Coterra from May 7 onward, so headline production will be larger and purchase-accounting, integration, transaction, and financing items could muddy GAAP comparisons.</w:t>
      </w:r>
    </w:p>
    <w:p>
      <w:r>
        <w:pict>
          <v:rect style="width:0;height:1.5pt" o:hralign="center" o:hrstd="t" o:hr="t"/>
        </w:pict>
      </w:r>
    </w:p>
    <w:bookmarkEnd w:id="10"/>
    <w:bookmarkEnd w:id="11"/>
    <w:bookmarkStart w:id="14" w:name="Xf90361523ffb3e5ff6c642b2dc6f642f9ae7d92"/>
    <w:p>
      <w:pPr>
        <w:pStyle w:val="Heading2"/>
      </w:pPr>
      <w:r>
        <w:t xml:space="preserve">The key issue: synergy delivery and the quality of the combined outlook</w:t>
      </w:r>
    </w:p>
    <w:p>
      <w:pPr>
        <w:pStyle w:val="FirstParagraph"/>
      </w:pPr>
      <w:r>
        <w:t xml:space="preserve">Devon has targeted</w:t>
      </w:r>
      <w:r>
        <w:t xml:space="preserve"> </w:t>
      </w:r>
      <w:r>
        <w:rPr>
          <w:b/>
          <w:bCs/>
        </w:rPr>
        <w:t xml:space="preserve">$1 billion of sustainable annual pre-tax merger synergies by year-end 2027</w:t>
      </w:r>
      <w:r>
        <w:t xml:space="preserve">, split broadly among:</w:t>
      </w:r>
    </w:p>
    <w:p>
      <w:pPr>
        <w:pStyle w:val="Compact"/>
        <w:numPr>
          <w:ilvl w:val="0"/>
          <w:numId w:val="1002"/>
        </w:numPr>
      </w:pPr>
      <w:r>
        <w:rPr>
          <w:b/>
          <w:bCs/>
        </w:rPr>
        <w:t xml:space="preserve">Drilling and completion / capital efficiency</w:t>
      </w:r>
    </w:p>
    <w:p>
      <w:pPr>
        <w:pStyle w:val="Compact"/>
        <w:numPr>
          <w:ilvl w:val="0"/>
          <w:numId w:val="1002"/>
        </w:numPr>
      </w:pPr>
      <w:r>
        <w:rPr>
          <w:b/>
          <w:bCs/>
        </w:rPr>
        <w:t xml:space="preserve">Operating costs, contracts, uptime, and base-production optimization</w:t>
      </w:r>
    </w:p>
    <w:p>
      <w:pPr>
        <w:pStyle w:val="Compact"/>
        <w:numPr>
          <w:ilvl w:val="0"/>
          <w:numId w:val="1002"/>
        </w:numPr>
      </w:pPr>
      <w:r>
        <w:rPr>
          <w:b/>
          <w:bCs/>
        </w:rPr>
        <w:t xml:space="preserve">Corporate-cost savings</w:t>
      </w:r>
    </w:p>
    <w:p>
      <w:pPr>
        <w:pStyle w:val="FirstParagraph"/>
      </w:pPr>
      <w:r>
        <w:t xml:space="preserve">Management has indicated that it expects benefits to begin showing in 2026 and has expressed high confidence in achieving the full target. At the June investor conference, management pointed to material well-cost differences between the legacy organizations and suggested an opportunity exceeding</w:t>
      </w:r>
      <w:r>
        <w:t xml:space="preserve"> </w:t>
      </w:r>
      <w:r>
        <w:rPr>
          <w:b/>
          <w:bCs/>
        </w:rPr>
        <w:t xml:space="preserve">$1 million per well</w:t>
      </w:r>
      <w:r>
        <w:t xml:space="preserve"> </w:t>
      </w:r>
      <w:r>
        <w:t xml:space="preserve">in comparable Delaware development activity.</w:t>
      </w:r>
    </w:p>
    <w:bookmarkStart w:id="12" w:name="what-would-be-constructive"/>
    <w:p>
      <w:pPr>
        <w:pStyle w:val="Heading3"/>
      </w:pPr>
      <w:r>
        <w:t xml:space="preserve">What would be constructive</w:t>
      </w:r>
    </w:p>
    <w:p>
      <w:pPr>
        <w:pStyle w:val="Compact"/>
        <w:numPr>
          <w:ilvl w:val="0"/>
          <w:numId w:val="1003"/>
        </w:numPr>
      </w:pPr>
      <w:r>
        <w:t xml:space="preserve">Specific synergy dollars captured or contracted since closing.</w:t>
      </w:r>
    </w:p>
    <w:p>
      <w:pPr>
        <w:pStyle w:val="Compact"/>
        <w:numPr>
          <w:ilvl w:val="0"/>
          <w:numId w:val="1003"/>
        </w:numPr>
      </w:pPr>
      <w:r>
        <w:t xml:space="preserve">A bridge from 2026 run-rate savings to the full 2027 target.</w:t>
      </w:r>
    </w:p>
    <w:p>
      <w:pPr>
        <w:pStyle w:val="Compact"/>
        <w:numPr>
          <w:ilvl w:val="0"/>
          <w:numId w:val="1003"/>
        </w:numPr>
      </w:pPr>
      <w:r>
        <w:t xml:space="preserve">Evidence that combined drilling and completion practices are lowering well costs rather than merely shifting activity.</w:t>
      </w:r>
    </w:p>
    <w:p>
      <w:pPr>
        <w:pStyle w:val="Compact"/>
        <w:numPr>
          <w:ilvl w:val="0"/>
          <w:numId w:val="1003"/>
        </w:numPr>
      </w:pPr>
      <w:r>
        <w:t xml:space="preserve">Lower unit costs, stronger uptime, or a lower capital requirement for the same production outlook.</w:t>
      </w:r>
    </w:p>
    <w:p>
      <w:pPr>
        <w:pStyle w:val="Compact"/>
        <w:numPr>
          <w:ilvl w:val="0"/>
          <w:numId w:val="1003"/>
        </w:numPr>
      </w:pPr>
      <w:r>
        <w:t xml:space="preserve">Commentary that the integration is proceeding without operational disruption or organizational attrition.</w:t>
      </w:r>
    </w:p>
    <w:bookmarkEnd w:id="12"/>
    <w:bookmarkStart w:id="13" w:name="what-would-disappoint"/>
    <w:p>
      <w:pPr>
        <w:pStyle w:val="Heading3"/>
      </w:pPr>
      <w:r>
        <w:t xml:space="preserve">What would disappoint</w:t>
      </w:r>
    </w:p>
    <w:p>
      <w:pPr>
        <w:pStyle w:val="Compact"/>
        <w:numPr>
          <w:ilvl w:val="0"/>
          <w:numId w:val="1004"/>
        </w:numPr>
      </w:pPr>
      <w:r>
        <w:t xml:space="preserve">Qualitative integration commentary without quantified savings.</w:t>
      </w:r>
    </w:p>
    <w:p>
      <w:pPr>
        <w:pStyle w:val="Compact"/>
        <w:numPr>
          <w:ilvl w:val="0"/>
          <w:numId w:val="1004"/>
        </w:numPr>
      </w:pPr>
      <w:r>
        <w:t xml:space="preserve">Higher-than-expected merger, severance, systems, or integration costs.</w:t>
      </w:r>
    </w:p>
    <w:p>
      <w:pPr>
        <w:pStyle w:val="Compact"/>
        <w:numPr>
          <w:ilvl w:val="0"/>
          <w:numId w:val="1004"/>
        </w:numPr>
      </w:pPr>
      <w:r>
        <w:t xml:space="preserve">A capital plan that rises faster than the company’s production or free-cash-flow outlook.</w:t>
      </w:r>
    </w:p>
    <w:p>
      <w:pPr>
        <w:pStyle w:val="Compact"/>
        <w:numPr>
          <w:ilvl w:val="0"/>
          <w:numId w:val="1004"/>
        </w:numPr>
      </w:pPr>
      <w:r>
        <w:t xml:space="preserve">Delayed synergy timing, especially if tied to operational complexity in the Delaware Basin.</w:t>
      </w:r>
    </w:p>
    <w:p>
      <w:pPr>
        <w:pStyle w:val="FirstParagraph"/>
      </w:pPr>
      <w:r>
        <w:t xml:space="preserve">The stock is likely to trade more on the</w:t>
      </w:r>
      <w:r>
        <w:t xml:space="preserve"> </w:t>
      </w:r>
      <w:r>
        <w:rPr>
          <w:b/>
          <w:bCs/>
        </w:rPr>
        <w:t xml:space="preserve">credibility and timing of synergy capture</w:t>
      </w:r>
      <w:r>
        <w:t xml:space="preserve"> </w:t>
      </w:r>
      <w:r>
        <w:t xml:space="preserve">than on a small EPS beat or miss.</w:t>
      </w:r>
    </w:p>
    <w:p>
      <w:r>
        <w:pict>
          <v:rect style="width:0;height:1.5pt" o:hralign="center" o:hrstd="t" o:hr="t"/>
        </w:pict>
      </w:r>
    </w:p>
    <w:bookmarkEnd w:id="13"/>
    <w:bookmarkEnd w:id="14"/>
    <w:bookmarkStart w:id="15" w:name="Xc1b6663c6c37d58b52e48c58d357b0df9d57b5c"/>
    <w:p>
      <w:pPr>
        <w:pStyle w:val="Heading2"/>
      </w:pPr>
      <w:r>
        <w:t xml:space="preserve">Delaware Basin: the strategic prize and the capital-allocation test</w:t>
      </w:r>
    </w:p>
    <w:p>
      <w:pPr>
        <w:pStyle w:val="FirstParagraph"/>
      </w:pPr>
      <w:r>
        <w:t xml:space="preserve">The merger creates a substantially larger Delaware Basin position, which management characterizes as the combined company’s highest-return development platform. The strategic advantage is scale: contiguous acreage, shared infrastructure, more development inventory, and the ability to direct capital toward the best rock and the most efficient programs.</w:t>
      </w:r>
    </w:p>
    <w:p>
      <w:pPr>
        <w:pStyle w:val="BodyText"/>
      </w:pPr>
      <w:r>
        <w:t xml:space="preserve">But this advantage comes with a capital-allocation debate. In May, Devon spent approximately</w:t>
      </w:r>
      <w:r>
        <w:t xml:space="preserve"> </w:t>
      </w:r>
      <w:r>
        <w:rPr>
          <w:b/>
          <w:bCs/>
        </w:rPr>
        <w:t xml:space="preserve">$2.6 billion</w:t>
      </w:r>
      <w:r>
        <w:t xml:space="preserve"> </w:t>
      </w:r>
      <w:r>
        <w:t xml:space="preserve">for 16,300 acres in a major New Mexico lease sale. Management argues that these were high-quality, undeveloped acres with attractive royalty and working-interest characteristics, plus immediate infrastructure adjacency.</w:t>
      </w:r>
    </w:p>
    <w:p>
      <w:pPr>
        <w:pStyle w:val="BodyText"/>
      </w:pPr>
      <w:r>
        <w:t xml:space="preserve">The August report should give investors more clarity on:</w:t>
      </w:r>
    </w:p>
    <w:p>
      <w:pPr>
        <w:pStyle w:val="Compact"/>
        <w:numPr>
          <w:ilvl w:val="0"/>
          <w:numId w:val="1005"/>
        </w:numPr>
      </w:pPr>
      <w:r>
        <w:t xml:space="preserve">How the acquired acreage fits into the development schedule;</w:t>
      </w:r>
    </w:p>
    <w:p>
      <w:pPr>
        <w:pStyle w:val="Compact"/>
        <w:numPr>
          <w:ilvl w:val="0"/>
          <w:numId w:val="1005"/>
        </w:numPr>
      </w:pPr>
      <w:r>
        <w:t xml:space="preserve">Whether management views the purchase as inventory enhancement, near-term production growth, or both;</w:t>
      </w:r>
    </w:p>
    <w:p>
      <w:pPr>
        <w:pStyle w:val="Compact"/>
        <w:numPr>
          <w:ilvl w:val="0"/>
          <w:numId w:val="1005"/>
        </w:numPr>
      </w:pPr>
      <w:r>
        <w:t xml:space="preserve">How much incremental capital will be required before the acreage contributes meaningfully to production and free cash flow;</w:t>
      </w:r>
    </w:p>
    <w:p>
      <w:pPr>
        <w:pStyle w:val="Compact"/>
        <w:numPr>
          <w:ilvl w:val="0"/>
          <w:numId w:val="1005"/>
        </w:numPr>
      </w:pPr>
      <w:r>
        <w:t xml:space="preserve">Whether the company can preserve a disciplined reinvestment rate while absorbing both the merger and the lease acquisition.</w:t>
      </w:r>
    </w:p>
    <w:p>
      <w:pPr>
        <w:pStyle w:val="FirstParagraph"/>
      </w:pPr>
      <w:r>
        <w:t xml:space="preserve">This is an important call topic: the strategic value may be compelling, but the market will want proof that the company did not sacrifice near-term cash returns for acreage scale.</w:t>
      </w:r>
    </w:p>
    <w:p>
      <w:r>
        <w:pict>
          <v:rect style="width:0;height:1.5pt" o:hralign="center" o:hrstd="t" o:hr="t"/>
        </w:pict>
      </w:r>
    </w:p>
    <w:bookmarkEnd w:id="15"/>
    <w:bookmarkStart w:id="17" w:name="cash-flow-capital-returns-and-leverage"/>
    <w:p>
      <w:pPr>
        <w:pStyle w:val="Heading2"/>
      </w:pPr>
      <w:r>
        <w:t xml:space="preserve">Cash flow, capital returns, and leverage</w:t>
      </w:r>
    </w:p>
    <w:p>
      <w:pPr>
        <w:pStyle w:val="FirstParagraph"/>
      </w:pPr>
      <w:r>
        <w:t xml:space="preserve">Legacy Devon entered the merger from a position of relative financial strength. In 1Q26, it generated:</w:t>
      </w:r>
    </w:p>
    <w:p>
      <w:pPr>
        <w:pStyle w:val="Compact"/>
        <w:numPr>
          <w:ilvl w:val="0"/>
          <w:numId w:val="1006"/>
        </w:numPr>
      </w:pPr>
      <w:r>
        <w:rPr>
          <w:b/>
          <w:bCs/>
        </w:rPr>
        <w:t xml:space="preserve">$1.66 billion</w:t>
      </w:r>
      <w:r>
        <w:t xml:space="preserve"> </w:t>
      </w:r>
      <w:r>
        <w:t xml:space="preserve">of operating cash flow;</w:t>
      </w:r>
    </w:p>
    <w:p>
      <w:pPr>
        <w:pStyle w:val="Compact"/>
        <w:numPr>
          <w:ilvl w:val="0"/>
          <w:numId w:val="1006"/>
        </w:numPr>
      </w:pPr>
      <w:r>
        <w:rPr>
          <w:b/>
          <w:bCs/>
        </w:rPr>
        <w:t xml:space="preserve">$816 million</w:t>
      </w:r>
      <w:r>
        <w:t xml:space="preserve"> </w:t>
      </w:r>
      <w:r>
        <w:t xml:space="preserve">of free cash flow, defined as operating cash flow less capital expenditures;</w:t>
      </w:r>
    </w:p>
    <w:p>
      <w:pPr>
        <w:pStyle w:val="Compact"/>
        <w:numPr>
          <w:ilvl w:val="0"/>
          <w:numId w:val="1006"/>
        </w:numPr>
      </w:pPr>
      <w:r>
        <w:rPr>
          <w:b/>
          <w:bCs/>
        </w:rPr>
        <w:t xml:space="preserve">$6.57 billion</w:t>
      </w:r>
      <w:r>
        <w:t xml:space="preserve"> </w:t>
      </w:r>
      <w:r>
        <w:t xml:space="preserve">of net debt; and</w:t>
      </w:r>
    </w:p>
    <w:p>
      <w:pPr>
        <w:pStyle w:val="Compact"/>
        <w:numPr>
          <w:ilvl w:val="0"/>
          <w:numId w:val="1006"/>
        </w:numPr>
      </w:pPr>
      <w:r>
        <w:rPr>
          <w:b/>
          <w:bCs/>
        </w:rPr>
        <w:t xml:space="preserve">0.9x net debt-to-EBITDAX</w:t>
      </w:r>
      <w:r>
        <w:t xml:space="preserve">.</w:t>
      </w:r>
    </w:p>
    <w:p>
      <w:pPr>
        <w:pStyle w:val="FirstParagraph"/>
      </w:pPr>
      <w:r>
        <w:t xml:space="preserve">The combined entity has since taken steps to streamline inherited Coterra debt, including a June exchange that moved roughly</w:t>
      </w:r>
      <w:r>
        <w:t xml:space="preserve"> </w:t>
      </w:r>
      <w:r>
        <w:rPr>
          <w:b/>
          <w:bCs/>
        </w:rPr>
        <w:t xml:space="preserve">$2.95 billion</w:t>
      </w:r>
      <w:r>
        <w:t xml:space="preserve"> </w:t>
      </w:r>
      <w:r>
        <w:t xml:space="preserve">of Coterra notes into Devon-issued notes. This does not itself constitute deleveraging, but it simplifies the post-merger capital structure.</w:t>
      </w:r>
    </w:p>
    <w:p>
      <w:pPr>
        <w:pStyle w:val="BodyText"/>
      </w:pPr>
      <w:r>
        <w:t xml:space="preserve">Management’s capital-return framework is ambitious:</w:t>
      </w:r>
    </w:p>
    <w:p>
      <w:pPr>
        <w:pStyle w:val="Compact"/>
        <w:numPr>
          <w:ilvl w:val="0"/>
          <w:numId w:val="1007"/>
        </w:numPr>
      </w:pPr>
      <w:r>
        <w:t xml:space="preserve">A quarterly base dividend of approximately</w:t>
      </w:r>
      <w:r>
        <w:t xml:space="preserve"> </w:t>
      </w:r>
      <w:r>
        <w:rPr>
          <w:b/>
          <w:bCs/>
        </w:rPr>
        <w:t xml:space="preserve">$0.32 per share</w:t>
      </w:r>
      <w:r>
        <w:t xml:space="preserve">, representing a meaningful uplift from pre-merger Devon;</w:t>
      </w:r>
    </w:p>
    <w:p>
      <w:pPr>
        <w:pStyle w:val="Compact"/>
        <w:numPr>
          <w:ilvl w:val="0"/>
          <w:numId w:val="1007"/>
        </w:numPr>
      </w:pPr>
      <w:r>
        <w:t xml:space="preserve">An</w:t>
      </w:r>
      <w:r>
        <w:t xml:space="preserve"> </w:t>
      </w:r>
      <w:r>
        <w:rPr>
          <w:b/>
          <w:bCs/>
        </w:rPr>
        <w:t xml:space="preserve">$8 billion</w:t>
      </w:r>
      <w:r>
        <w:t xml:space="preserve"> </w:t>
      </w:r>
      <w:r>
        <w:t xml:space="preserve">share-repurchase authorization;</w:t>
      </w:r>
    </w:p>
    <w:p>
      <w:pPr>
        <w:pStyle w:val="Compact"/>
        <w:numPr>
          <w:ilvl w:val="0"/>
          <w:numId w:val="1007"/>
        </w:numPr>
      </w:pPr>
      <w:r>
        <w:t xml:space="preserve">A stated intention to repurchase shares systematically—potentially around</w:t>
      </w:r>
      <w:r>
        <w:t xml:space="preserve"> </w:t>
      </w:r>
      <w:r>
        <w:rPr>
          <w:b/>
          <w:bCs/>
        </w:rPr>
        <w:t xml:space="preserve">$250 million to $500 million per quarter</w:t>
      </w:r>
      <w:r>
        <w:t xml:space="preserve">, depending on cash flow and conditions; and</w:t>
      </w:r>
    </w:p>
    <w:p>
      <w:pPr>
        <w:pStyle w:val="Compact"/>
        <w:numPr>
          <w:ilvl w:val="0"/>
          <w:numId w:val="1007"/>
        </w:numPr>
      </w:pPr>
      <w:r>
        <w:t xml:space="preserve">A longer-term objective of reducing debt toward roughly</w:t>
      </w:r>
      <w:r>
        <w:t xml:space="preserve"> </w:t>
      </w:r>
      <w:r>
        <w:rPr>
          <w:b/>
          <w:bCs/>
        </w:rPr>
        <w:t xml:space="preserve">$9 billion</w:t>
      </w:r>
      <w:r>
        <w:t xml:space="preserve">.</w:t>
      </w:r>
    </w:p>
    <w:bookmarkStart w:id="16" w:name="what-matters-on-august-45"/>
    <w:p>
      <w:pPr>
        <w:pStyle w:val="Heading3"/>
      </w:pPr>
      <w:r>
        <w:t xml:space="preserve">What matters on August 4–5</w:t>
      </w:r>
    </w:p>
    <w:p>
      <w:pPr>
        <w:pStyle w:val="Compact"/>
        <w:numPr>
          <w:ilvl w:val="0"/>
          <w:numId w:val="1008"/>
        </w:numPr>
      </w:pPr>
      <w:r>
        <w:rPr>
          <w:b/>
          <w:bCs/>
        </w:rPr>
        <w:t xml:space="preserve">Free cash flow after merger-close spending:</w:t>
      </w:r>
      <w:r>
        <w:t xml:space="preserve"> </w:t>
      </w:r>
      <w:r>
        <w:t xml:space="preserve">Is the enlarged company generating the cash expected from its bigger asset base?</w:t>
      </w:r>
    </w:p>
    <w:p>
      <w:pPr>
        <w:pStyle w:val="Compact"/>
        <w:numPr>
          <w:ilvl w:val="0"/>
          <w:numId w:val="1008"/>
        </w:numPr>
      </w:pPr>
      <w:r>
        <w:rPr>
          <w:b/>
          <w:bCs/>
        </w:rPr>
        <w:t xml:space="preserve">Capital-return cadence:</w:t>
      </w:r>
      <w:r>
        <w:t xml:space="preserve"> </w:t>
      </w:r>
      <w:r>
        <w:t xml:space="preserve">Has buyback activity begun under the new authorization, and how mechanical versus opportunistic will it be?</w:t>
      </w:r>
    </w:p>
    <w:p>
      <w:pPr>
        <w:pStyle w:val="Compact"/>
        <w:numPr>
          <w:ilvl w:val="0"/>
          <w:numId w:val="1008"/>
        </w:numPr>
      </w:pPr>
      <w:r>
        <w:rPr>
          <w:b/>
          <w:bCs/>
        </w:rPr>
        <w:t xml:space="preserve">Debt and liquidity:</w:t>
      </w:r>
      <w:r>
        <w:t xml:space="preserve"> </w:t>
      </w:r>
      <w:r>
        <w:t xml:space="preserve">What is pro forma net debt after the merger, the acreage purchase, and the debt exchange?</w:t>
      </w:r>
    </w:p>
    <w:p>
      <w:pPr>
        <w:pStyle w:val="Compact"/>
        <w:numPr>
          <w:ilvl w:val="0"/>
          <w:numId w:val="1008"/>
        </w:numPr>
      </w:pPr>
      <w:r>
        <w:rPr>
          <w:b/>
          <w:bCs/>
        </w:rPr>
        <w:t xml:space="preserve">Reinvestment discipline:</w:t>
      </w:r>
      <w:r>
        <w:t xml:space="preserve"> </w:t>
      </w:r>
      <w:r>
        <w:t xml:space="preserve">Does guidance imply that Devon can fund production, debt reduction, dividends, and buybacks without leaning on a favorable commodity-price environment?</w:t>
      </w:r>
    </w:p>
    <w:p>
      <w:r>
        <w:pict>
          <v:rect style="width:0;height:1.5pt" o:hralign="center" o:hrstd="t" o:hr="t"/>
        </w:pict>
      </w:r>
    </w:p>
    <w:bookmarkEnd w:id="16"/>
    <w:bookmarkEnd w:id="17"/>
    <w:bookmarkStart w:id="18" w:name="commodity-and-hedge-considerations"/>
    <w:p>
      <w:pPr>
        <w:pStyle w:val="Heading2"/>
      </w:pPr>
      <w:r>
        <w:t xml:space="preserve">Commodity and hedge considerations</w:t>
      </w:r>
    </w:p>
    <w:p>
      <w:pPr>
        <w:pStyle w:val="FirstParagraph"/>
      </w:pPr>
      <w:r>
        <w:t xml:space="preserve">Devon remains highly exposed to oil, natural gas, NGL prices, regional differentials, and realized-price performance. Its hedge book provides downside protection but also constrains some upside.</w:t>
      </w:r>
    </w:p>
    <w:p>
      <w:pPr>
        <w:pStyle w:val="BodyText"/>
      </w:pPr>
      <w:r>
        <w:t xml:space="preserve">For the balance of 2026, legacy Devon had oil three-way collars covering</w:t>
      </w:r>
      <w:r>
        <w:t xml:space="preserve"> </w:t>
      </w:r>
      <w:r>
        <w:rPr>
          <w:b/>
          <w:bCs/>
        </w:rPr>
        <w:t xml:space="preserve">113 MBbl/d</w:t>
      </w:r>
      <w:r>
        <w:t xml:space="preserve"> </w:t>
      </w:r>
      <w:r>
        <w:t xml:space="preserve">in 3Q–4Q at a weighted purchased floor of</w:t>
      </w:r>
      <w:r>
        <w:t xml:space="preserve"> </w:t>
      </w:r>
      <m:oMath>
        <m:r>
          <m:t>59.36</m:t>
        </m:r>
        <m:r>
          <m:rPr>
            <m:sty m:val="p"/>
          </m:rPr>
          <m:t>/</m:t>
        </m:r>
        <m:r>
          <m:t>b</m:t>
        </m:r>
        <m:r>
          <m:t>b</m:t>
        </m:r>
        <m:r>
          <m:t>l</m:t>
        </m:r>
        <m:r>
          <m:rPr>
            <m:sty m:val="p"/>
          </m:rPr>
          <m:t>*</m:t>
        </m:r>
        <m:r>
          <m:rPr>
            <m:sty m:val="p"/>
          </m:rPr>
          <m:t>*</m:t>
        </m:r>
        <m:r>
          <m:t>a</m:t>
        </m:r>
        <m:r>
          <m:t>n</m:t>
        </m:r>
        <m:r>
          <m:t>d</m:t>
        </m:r>
        <m:r>
          <m:t>a</m:t>
        </m:r>
        <m:r>
          <m:t>w</m:t>
        </m:r>
        <m:r>
          <m:t>e</m:t>
        </m:r>
        <m:r>
          <m:t>i</m:t>
        </m:r>
        <m:r>
          <m:t>g</m:t>
        </m:r>
        <m:r>
          <m:t>h</m:t>
        </m:r>
        <m:r>
          <m:t>t</m:t>
        </m:r>
        <m:r>
          <m:t>e</m:t>
        </m:r>
        <m:r>
          <m:t>d</m:t>
        </m:r>
        <m:r>
          <m:t>c</m:t>
        </m:r>
        <m:r>
          <m:t>e</m:t>
        </m:r>
        <m:r>
          <m:t>i</m:t>
        </m:r>
        <m:r>
          <m:t>l</m:t>
        </m:r>
        <m:r>
          <m:t>i</m:t>
        </m:r>
        <m:r>
          <m:t>n</m:t>
        </m:r>
        <m:r>
          <m:t>g</m:t>
        </m:r>
        <m:r>
          <m:t>o</m:t>
        </m:r>
        <m:r>
          <m:t>f</m:t>
        </m:r>
        <m:r>
          <m:rPr>
            <m:sty m:val="p"/>
          </m:rPr>
          <m:t>*</m:t>
        </m:r>
        <m:r>
          <m:rPr>
            <m:sty m:val="p"/>
          </m:rPr>
          <m:t>*</m:t>
        </m:r>
      </m:oMath>
      <w:r>
        <w:rPr>
          <w:b/>
          <w:bCs/>
        </w:rPr>
        <w:t xml:space="preserve">70.85/bbl</w:t>
      </w:r>
      <w:r>
        <w:t xml:space="preserve">. It also had natural-gas swaps covering</w:t>
      </w:r>
      <w:r>
        <w:t xml:space="preserve"> </w:t>
      </w:r>
      <w:r>
        <w:rPr>
          <w:b/>
          <w:bCs/>
        </w:rPr>
        <w:t xml:space="preserve">247.5 MMcf/d</w:t>
      </w:r>
      <w:r>
        <w:t xml:space="preserve"> </w:t>
      </w:r>
      <w:r>
        <w:t xml:space="preserve">at</w:t>
      </w:r>
      <w:r>
        <w:t xml:space="preserve"> </w:t>
      </w:r>
      <w:r>
        <w:rPr>
          <w:b/>
          <w:bCs/>
        </w:rPr>
        <w:t xml:space="preserve">$3.80/MMBtu</w:t>
      </w:r>
      <w:r>
        <w:t xml:space="preserve">, plus collars on another</w:t>
      </w:r>
      <w:r>
        <w:t xml:space="preserve"> </w:t>
      </w:r>
      <w:r>
        <w:rPr>
          <w:b/>
          <w:bCs/>
        </w:rPr>
        <w:t xml:space="preserve">230 MMcf/d</w:t>
      </w:r>
      <w:r>
        <w:t xml:space="preserve">.</w:t>
      </w:r>
    </w:p>
    <w:p>
      <w:pPr>
        <w:pStyle w:val="BodyText"/>
      </w:pPr>
      <w:r>
        <w:t xml:space="preserve">Two implications:</w:t>
      </w:r>
    </w:p>
    <w:p>
      <w:pPr>
        <w:pStyle w:val="Compact"/>
        <w:numPr>
          <w:ilvl w:val="0"/>
          <w:numId w:val="1009"/>
        </w:numPr>
      </w:pPr>
      <w:r>
        <w:t xml:space="preserve">Reported GAAP earnings can be noisy because derivative mark-to-market changes may be substantial.</w:t>
      </w:r>
    </w:p>
    <w:p>
      <w:pPr>
        <w:pStyle w:val="Compact"/>
        <w:numPr>
          <w:ilvl w:val="0"/>
          <w:numId w:val="1009"/>
        </w:numPr>
      </w:pPr>
      <w:r>
        <w:t xml:space="preserve">For investors,</w:t>
      </w:r>
      <w:r>
        <w:t xml:space="preserve"> </w:t>
      </w:r>
      <w:r>
        <w:rPr>
          <w:b/>
          <w:bCs/>
        </w:rPr>
        <w:t xml:space="preserve">cash flow, realized prices including cash settlements, and free cash flow</w:t>
      </w:r>
      <w:r>
        <w:t xml:space="preserve"> </w:t>
      </w:r>
      <w:r>
        <w:t xml:space="preserve">are more informative than GAAP net income alone.</w:t>
      </w:r>
    </w:p>
    <w:p>
      <w:pPr>
        <w:pStyle w:val="FirstParagraph"/>
      </w:pPr>
      <w:r>
        <w:t xml:space="preserve">In 1Q26, Devon reported only</w:t>
      </w:r>
      <w:r>
        <w:t xml:space="preserve"> </w:t>
      </w:r>
      <m:oMath>
        <m:r>
          <m:t>0.19</m:t>
        </m:r>
        <m:r>
          <m:rPr>
            <m:sty m:val="p"/>
          </m:rPr>
          <m:t>/</m:t>
        </m:r>
        <m:r>
          <m:t>s</m:t>
        </m:r>
        <m:r>
          <m:t>h</m:t>
        </m:r>
        <m:r>
          <m:t>a</m:t>
        </m:r>
        <m:r>
          <m:t>r</m:t>
        </m:r>
        <m:r>
          <m:t>e</m:t>
        </m:r>
        <m:r>
          <m:rPr>
            <m:sty m:val="p"/>
          </m:rPr>
          <m:t>*</m:t>
        </m:r>
        <m:r>
          <m:rPr>
            <m:sty m:val="p"/>
          </m:rPr>
          <m:t>*</m:t>
        </m:r>
        <m:r>
          <m:t>i</m:t>
        </m:r>
        <m:r>
          <m:t>n</m:t>
        </m:r>
        <m:r>
          <m:t>G</m:t>
        </m:r>
        <m:r>
          <m:t>A</m:t>
        </m:r>
        <m:r>
          <m:t>A</m:t>
        </m:r>
        <m:r>
          <m:t>P</m:t>
        </m:r>
        <m:r>
          <m:t>d</m:t>
        </m:r>
        <m:r>
          <m:t>i</m:t>
        </m:r>
        <m:r>
          <m:t>l</m:t>
        </m:r>
        <m:r>
          <m:t>u</m:t>
        </m:r>
        <m:r>
          <m:t>t</m:t>
        </m:r>
        <m:r>
          <m:t>e</m:t>
        </m:r>
        <m:r>
          <m:t>d</m:t>
        </m:r>
        <m:r>
          <m:t>E</m:t>
        </m:r>
        <m:r>
          <m:t>P</m:t>
        </m:r>
        <m:r>
          <m:t>S</m:t>
        </m:r>
        <m:r>
          <m:t>b</m:t>
        </m:r>
        <m:r>
          <m:t>u</m:t>
        </m:r>
        <m:r>
          <m:t>t</m:t>
        </m:r>
        <m:r>
          <m:rPr>
            <m:sty m:val="p"/>
          </m:rPr>
          <m:t>*</m:t>
        </m:r>
        <m:r>
          <m:rPr>
            <m:sty m:val="p"/>
          </m:rPr>
          <m:t>*</m:t>
        </m:r>
      </m:oMath>
      <w:r>
        <w:rPr>
          <w:b/>
          <w:bCs/>
        </w:rPr>
        <w:t xml:space="preserve">1.04/share</w:t>
      </w:r>
      <w:r>
        <w:t xml:space="preserve"> </w:t>
      </w:r>
      <w:r>
        <w:t xml:space="preserve">in core EPS, largely because of non-cash derivative valuation losses. Similar noise is possible in 2Q.</w:t>
      </w:r>
    </w:p>
    <w:p>
      <w:r>
        <w:pict>
          <v:rect style="width:0;height:1.5pt" o:hralign="center" o:hrstd="t" o:hr="t"/>
        </w:pict>
      </w:r>
    </w:p>
    <w:bookmarkEnd w:id="18"/>
    <w:bookmarkStart w:id="23" w:name="earnings-checklist"/>
    <w:p>
      <w:pPr>
        <w:pStyle w:val="Heading2"/>
      </w:pPr>
      <w:r>
        <w:t xml:space="preserve">Earnings checklist</w:t>
      </w:r>
    </w:p>
    <w:bookmarkStart w:id="19" w:name="operational"/>
    <w:p>
      <w:pPr>
        <w:pStyle w:val="Heading3"/>
      </w:pPr>
      <w:r>
        <w:t xml:space="preserve">Operational</w:t>
      </w:r>
    </w:p>
    <w:p>
      <w:pPr>
        <w:pStyle w:val="Compact"/>
        <w:numPr>
          <w:ilvl w:val="0"/>
          <w:numId w:val="1010"/>
        </w:numPr>
      </w:pPr>
      <w:r>
        <w:t xml:space="preserve">Did legacy Devon meet its</w:t>
      </w:r>
      <w:r>
        <w:t xml:space="preserve"> </w:t>
      </w:r>
      <w:r>
        <w:rPr>
          <w:b/>
          <w:bCs/>
        </w:rPr>
        <w:t xml:space="preserve">389–395 MBbl/d</w:t>
      </w:r>
      <w:r>
        <w:t xml:space="preserve"> </w:t>
      </w:r>
      <w:r>
        <w:t xml:space="preserve">oil guide?</w:t>
      </w:r>
    </w:p>
    <w:p>
      <w:pPr>
        <w:pStyle w:val="Compact"/>
        <w:numPr>
          <w:ilvl w:val="0"/>
          <w:numId w:val="1010"/>
        </w:numPr>
      </w:pPr>
      <w:r>
        <w:t xml:space="preserve">What are pro forma combined production volumes and mix?</w:t>
      </w:r>
    </w:p>
    <w:p>
      <w:pPr>
        <w:pStyle w:val="Compact"/>
        <w:numPr>
          <w:ilvl w:val="0"/>
          <w:numId w:val="1010"/>
        </w:numPr>
      </w:pPr>
      <w:r>
        <w:t xml:space="preserve">Is Delaware Basin activity increasing without inflation in well costs?</w:t>
      </w:r>
    </w:p>
    <w:p>
      <w:pPr>
        <w:pStyle w:val="Compact"/>
        <w:numPr>
          <w:ilvl w:val="0"/>
          <w:numId w:val="1010"/>
        </w:numPr>
      </w:pPr>
      <w:r>
        <w:t xml:space="preserve">Are base-decline rates and uptime improving?</w:t>
      </w:r>
    </w:p>
    <w:bookmarkEnd w:id="19"/>
    <w:bookmarkStart w:id="20" w:name="financial"/>
    <w:p>
      <w:pPr>
        <w:pStyle w:val="Heading3"/>
      </w:pPr>
      <w:r>
        <w:t xml:space="preserve">Financial</w:t>
      </w:r>
    </w:p>
    <w:p>
      <w:pPr>
        <w:pStyle w:val="Compact"/>
        <w:numPr>
          <w:ilvl w:val="0"/>
          <w:numId w:val="1011"/>
        </w:numPr>
      </w:pPr>
      <w:r>
        <w:t xml:space="preserve">Operating cash flow and free cash flow versus capital spending</w:t>
      </w:r>
    </w:p>
    <w:p>
      <w:pPr>
        <w:pStyle w:val="Compact"/>
        <w:numPr>
          <w:ilvl w:val="0"/>
          <w:numId w:val="1011"/>
        </w:numPr>
      </w:pPr>
      <w:r>
        <w:t xml:space="preserve">Realized oil, gas, and NGL prices versus benchmarks</w:t>
      </w:r>
    </w:p>
    <w:p>
      <w:pPr>
        <w:pStyle w:val="Compact"/>
        <w:numPr>
          <w:ilvl w:val="0"/>
          <w:numId w:val="1011"/>
        </w:numPr>
      </w:pPr>
      <w:r>
        <w:t xml:space="preserve">Unit LOE, gathering/processing/transportation, production taxes, and DD&amp;A</w:t>
      </w:r>
    </w:p>
    <w:p>
      <w:pPr>
        <w:pStyle w:val="Compact"/>
        <w:numPr>
          <w:ilvl w:val="0"/>
          <w:numId w:val="1011"/>
        </w:numPr>
      </w:pPr>
      <w:r>
        <w:t xml:space="preserve">GAAP-to-core-EPS reconciliation and derivative impacts</w:t>
      </w:r>
    </w:p>
    <w:p>
      <w:pPr>
        <w:pStyle w:val="Compact"/>
        <w:numPr>
          <w:ilvl w:val="0"/>
          <w:numId w:val="1011"/>
        </w:numPr>
      </w:pPr>
      <w:r>
        <w:t xml:space="preserve">Pro forma net debt and liquidity</w:t>
      </w:r>
    </w:p>
    <w:bookmarkEnd w:id="20"/>
    <w:bookmarkStart w:id="21" w:name="merger--strategic"/>
    <w:p>
      <w:pPr>
        <w:pStyle w:val="Heading3"/>
      </w:pPr>
      <w:r>
        <w:t xml:space="preserve">Merger / strategic</w:t>
      </w:r>
    </w:p>
    <w:p>
      <w:pPr>
        <w:pStyle w:val="Compact"/>
        <w:numPr>
          <w:ilvl w:val="0"/>
          <w:numId w:val="1012"/>
        </w:numPr>
      </w:pPr>
      <w:r>
        <w:t xml:space="preserve">Quantified synergy capture to date and 2026 exit-rate expectations</w:t>
      </w:r>
    </w:p>
    <w:p>
      <w:pPr>
        <w:pStyle w:val="Compact"/>
        <w:numPr>
          <w:ilvl w:val="0"/>
          <w:numId w:val="1012"/>
        </w:numPr>
      </w:pPr>
      <w:r>
        <w:t xml:space="preserve">Updated 2026 and initial 2027 production and capital framework</w:t>
      </w:r>
    </w:p>
    <w:p>
      <w:pPr>
        <w:pStyle w:val="Compact"/>
        <w:numPr>
          <w:ilvl w:val="0"/>
          <w:numId w:val="1012"/>
        </w:numPr>
      </w:pPr>
      <w:r>
        <w:t xml:space="preserve">Progress on portfolio review, including the potential disposition of non-core assets</w:t>
      </w:r>
    </w:p>
    <w:p>
      <w:pPr>
        <w:pStyle w:val="Compact"/>
        <w:numPr>
          <w:ilvl w:val="0"/>
          <w:numId w:val="1012"/>
        </w:numPr>
      </w:pPr>
      <w:r>
        <w:t xml:space="preserve">Integration costs, organizational changes, and operating-system consolidation</w:t>
      </w:r>
    </w:p>
    <w:p>
      <w:pPr>
        <w:pStyle w:val="Compact"/>
        <w:numPr>
          <w:ilvl w:val="0"/>
          <w:numId w:val="1012"/>
        </w:numPr>
      </w:pPr>
      <w:r>
        <w:t xml:space="preserve">Details on the New Mexico leasehold acquisition and its capital requirements</w:t>
      </w:r>
    </w:p>
    <w:bookmarkEnd w:id="21"/>
    <w:bookmarkStart w:id="22" w:name="capital-returns"/>
    <w:p>
      <w:pPr>
        <w:pStyle w:val="Heading3"/>
      </w:pPr>
      <w:r>
        <w:t xml:space="preserve">Capital returns</w:t>
      </w:r>
    </w:p>
    <w:p>
      <w:pPr>
        <w:pStyle w:val="Compact"/>
        <w:numPr>
          <w:ilvl w:val="0"/>
          <w:numId w:val="1013"/>
        </w:numPr>
      </w:pPr>
      <w:r>
        <w:t xml:space="preserve">Dividend declaration and sustainability</w:t>
      </w:r>
    </w:p>
    <w:p>
      <w:pPr>
        <w:pStyle w:val="Compact"/>
        <w:numPr>
          <w:ilvl w:val="0"/>
          <w:numId w:val="1013"/>
        </w:numPr>
      </w:pPr>
      <w:r>
        <w:t xml:space="preserve">Buyback activity under the $8 billion authorization</w:t>
      </w:r>
    </w:p>
    <w:p>
      <w:pPr>
        <w:pStyle w:val="Compact"/>
        <w:numPr>
          <w:ilvl w:val="0"/>
          <w:numId w:val="1013"/>
        </w:numPr>
      </w:pPr>
      <w:r>
        <w:t xml:space="preserve">Debt-reduction priorities relative to repurchases</w:t>
      </w:r>
    </w:p>
    <w:p>
      <w:pPr>
        <w:pStyle w:val="Compact"/>
        <w:numPr>
          <w:ilvl w:val="0"/>
          <w:numId w:val="1013"/>
        </w:numPr>
      </w:pPr>
      <w:r>
        <w:t xml:space="preserve">Reinvestment-rate and free-cash-flow framework through the cycle</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rPr>
          <w:b/>
          <w:bCs/>
        </w:rPr>
        <w:t xml:space="preserve">The near-term setup is constructive operationally but demanding strategically.</w:t>
      </w:r>
      <w:r>
        <w:t xml:space="preserve"> </w:t>
      </w:r>
      <w:r>
        <w:t xml:space="preserve">Legacy Devon’s 2Q guide called for modest production growth with manageable spending, while the first post-merger report gives management an opportunity to establish confidence in the combined company’s scale, capital efficiency, and shareholder-return capacity.</w:t>
      </w:r>
    </w:p>
    <w:p>
      <w:pPr>
        <w:pStyle w:val="BodyText"/>
      </w:pPr>
      <w:r>
        <w:t xml:space="preserve">The bullish outcome is not merely a production or EPS beat. It is a report that shows:</w:t>
      </w:r>
    </w:p>
    <w:p>
      <w:pPr>
        <w:pStyle w:val="Compact"/>
        <w:numPr>
          <w:ilvl w:val="0"/>
          <w:numId w:val="1014"/>
        </w:numPr>
      </w:pPr>
      <w:r>
        <w:t xml:space="preserve">in-line or better operational delivery;</w:t>
      </w:r>
    </w:p>
    <w:p>
      <w:pPr>
        <w:pStyle w:val="Compact"/>
        <w:numPr>
          <w:ilvl w:val="0"/>
          <w:numId w:val="1014"/>
        </w:numPr>
      </w:pPr>
      <w:r>
        <w:t xml:space="preserve">a clear pro forma production/capital outlook;</w:t>
      </w:r>
    </w:p>
    <w:p>
      <w:pPr>
        <w:pStyle w:val="Compact"/>
        <w:numPr>
          <w:ilvl w:val="0"/>
          <w:numId w:val="1014"/>
        </w:numPr>
      </w:pPr>
      <w:r>
        <w:t xml:space="preserve">early, quantified merger-synergy progress;</w:t>
      </w:r>
    </w:p>
    <w:p>
      <w:pPr>
        <w:pStyle w:val="Compact"/>
        <w:numPr>
          <w:ilvl w:val="0"/>
          <w:numId w:val="1014"/>
        </w:numPr>
      </w:pPr>
      <w:r>
        <w:t xml:space="preserve">sustained free-cash-flow generation after the merger and acreage spend; and</w:t>
      </w:r>
    </w:p>
    <w:p>
      <w:pPr>
        <w:pStyle w:val="Compact"/>
        <w:numPr>
          <w:ilvl w:val="0"/>
          <w:numId w:val="1014"/>
        </w:numPr>
      </w:pPr>
      <w:r>
        <w:t xml:space="preserve">a credible balance between buybacks, dividends, and debt management.</w:t>
      </w:r>
    </w:p>
    <w:p>
      <w:pPr>
        <w:pStyle w:val="FirstParagraph"/>
      </w:pPr>
      <w:r>
        <w:t xml:space="preserve">The bear case is that the report exposes a larger, more complex enterprise with elevated capital needs, vague synergy timing, and less cash-return capacity than investors expected. With the stock already below its pre-merger level, the burden is on management to turn the merger narrative into measurable quarterly financial evidence.</w:t>
      </w:r>
    </w:p>
    <w:p>
      <w:pPr>
        <w:pStyle w:val="BodyText"/>
      </w:pPr>
      <w:r>
        <w:rPr>
          <w:i/>
          <w:iCs/>
        </w:rPr>
        <w:t xml:space="preserve">Source materials reviewed: Devon’s 1Q26 earnings release and supplemental tables; May 7 Coterra-merger completion announcement; June 23 J.P. Morgan conference transcript; June 25 debt-exchange filing; and July 1 earnings-date announcement.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2026-08-04T01:56:02Z</dcterms:created>
  <dcterms:modified xsi:type="dcterms:W3CDTF">2026-08-04T01:56:02Z</dcterms:modified>
</cp:coreProperties>
</file>

<file path=docProps/custom.xml><?xml version="1.0" encoding="utf-8"?>
<Properties xmlns="http://schemas.openxmlformats.org/officeDocument/2006/custom-properties" xmlns:vt="http://schemas.openxmlformats.org/officeDocument/2006/docPropsVTypes"/>
</file>