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Devon Energy Corporation (DVN)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Devon Energy Corporation (DVN)</w:t>
            </w:r>
          </w:p>
        </w:tc>
      </w:tr>
      <w:tr>
        <w:tc>
          <w:tcPr>
            <w:tcW w:type="dxa" w:w="4320"/>
          </w:tcPr>
          <w:p>
            <w:r>
              <w:rPr>
                <w:rFonts w:ascii="Calibri" w:hAnsi="Calibri"/>
                <w:b/>
                <w:sz w:val="22"/>
              </w:rPr>
              <w:t>Upcoming Earnings</w:t>
            </w:r>
          </w:p>
        </w:tc>
        <w:tc>
          <w:tcPr>
            <w:tcW w:type="dxa" w:w="4320"/>
          </w:tcPr>
          <w:p>
            <w:r>
              <w:rPr>
                <w:rFonts w:ascii="Calibri" w:hAnsi="Calibri"/>
                <w:sz w:val="22"/>
              </w:rPr>
              <w:t>Q2 2026 — August 4, 2026 (After Market Close); Earnings Call August 5, 2026 at 11:00 AM ET</w:t>
            </w:r>
          </w:p>
        </w:tc>
      </w:tr>
      <w:tr>
        <w:tc>
          <w:tcPr>
            <w:tcW w:type="dxa" w:w="4320"/>
          </w:tcPr>
          <w:p>
            <w:r>
              <w:rPr>
                <w:rFonts w:ascii="Calibri" w:hAnsi="Calibri"/>
                <w:b/>
                <w:sz w:val="22"/>
              </w:rPr>
              <w:t>Prepared Date</w:t>
            </w:r>
          </w:p>
        </w:tc>
        <w:tc>
          <w:tcPr>
            <w:tcW w:type="dxa" w:w="4320"/>
          </w:tcPr>
          <w:p>
            <w:r>
              <w:rPr>
                <w:rFonts w:ascii="Calibri" w:hAnsi="Calibri"/>
                <w:sz w:val="22"/>
              </w:rPr>
              <w:t>August 3, 2026</w:t>
            </w:r>
          </w:p>
        </w:tc>
      </w:tr>
      <w:tr>
        <w:tc>
          <w:tcPr>
            <w:tcW w:type="dxa" w:w="4320"/>
          </w:tcPr>
          <w:p>
            <w:r>
              <w:rPr>
                <w:rFonts w:ascii="Calibri" w:hAnsi="Calibri"/>
                <w:b/>
                <w:sz w:val="22"/>
              </w:rPr>
              <w:t>Key Context</w:t>
            </w:r>
          </w:p>
        </w:tc>
        <w:tc>
          <w:tcPr>
            <w:tcW w:type="dxa" w:w="4320"/>
          </w:tcPr>
          <w:p>
            <w:r>
              <w:rPr>
                <w:rFonts w:ascii="Calibri" w:hAnsi="Calibri"/>
                <w:sz w:val="22"/>
              </w:rPr>
              <w:t>First combined earnings report post-Coterra merger close (May 7, 2026). All Q2 2026 consensus estimates reflect the combined Devon+Coterra entity. Prior period actuals (Q1 2026, Q2 2025) are Devon standalone only.</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This is DVN’s </w:t>
      </w:r>
      <w:r>
        <w:rPr>
          <w:rFonts w:ascii="Calibri" w:hAnsi="Calibri"/>
          <w:b/>
          <w:color w:val="525866"/>
          <w:sz w:val="22"/>
        </w:rPr>
        <w:t>first combined print post-Coterra merger close (May 7, 2026)</w:t>
      </w:r>
      <w:r>
        <w:rPr>
          <w:rFonts w:ascii="Calibri" w:hAnsi="Calibri"/>
          <w:color w:val="525866"/>
          <w:sz w:val="22"/>
        </w:rPr>
        <w:t xml:space="preserve">, making it a structurally new company vs. prior quarters. The bar is high — consensus expects oil production of ~491 Mbpd (vs. 387 Mbpd standalone in Q1) and EPS of ~$1.46 — but the real focus is on </w:t>
      </w:r>
      <w:r>
        <w:rPr>
          <w:rFonts w:ascii="Calibri" w:hAnsi="Calibri"/>
          <w:b/>
          <w:color w:val="525866"/>
          <w:sz w:val="22"/>
        </w:rPr>
        <w:t>combined guidance, synergy cadence, and portfolio review outcomes</w:t>
      </w:r>
      <w:r>
        <w:rPr>
          <w:rFonts w:ascii="Calibri" w:hAnsi="Calibri"/>
          <w:color w:val="525866"/>
          <w:sz w:val="22"/>
        </w:rPr>
        <w:t>. The wildcard is whether management delivers the promised mid-June combined full-year 2026 guidance and how the $1B synergy floor is being tracked.</w:t>
      </w:r>
    </w:p>
    <w:p>
      <w:r>
        <w:rPr>
          <w:rFonts w:ascii="Calibri" w:hAnsi="Calibri"/>
          <w:color w:val="525866"/>
          <w:sz w:val="22"/>
        </w:rPr>
        <w:t xml:space="preserve">Devon heads into its first combined earnings report as a materially larger company following the May 7 Coterra merger close, with consensus now reflecting a combined entity producing ~491 Mbpd of oil and generating ~$1.35B in free cash flow for Q2. The bar is set high on volume but management has a track record of beating production guidance — Q1 standalone oil came in at the top end of guidance at 387 Mbpd with capex 6% below midpoint. Estimate revisions since the merger close have been upward on production and EBITDAX, reflecting the Coterra contribution, though the </w:t>
      </w:r>
      <w:r>
        <w:rPr>
          <w:rFonts w:ascii="Calibri" w:hAnsi="Calibri"/>
          <w:b/>
          <w:color w:val="525866"/>
          <w:sz w:val="22"/>
        </w:rPr>
        <w:t>wide range of analyst estimates (EPS: $1.02–$1.89)</w:t>
      </w:r>
      <w:r>
        <w:rPr>
          <w:rFonts w:ascii="Calibri" w:hAnsi="Calibri"/>
          <w:color w:val="525866"/>
          <w:sz w:val="22"/>
        </w:rPr>
        <w:t xml:space="preserve"> signals genuine uncertainty about integration accounting and combined-entity modeling. The stock has </w:t>
      </w:r>
      <w:r>
        <w:rPr>
          <w:rFonts w:ascii="Calibri" w:hAnsi="Calibri"/>
          <w:b/>
          <w:color w:val="525866"/>
          <w:sz w:val="22"/>
        </w:rPr>
        <w:t>underperformed XOP by ~13% since last earnings</w:t>
      </w:r>
      <w:r>
        <w:rPr>
          <w:rFonts w:ascii="Calibri" w:hAnsi="Calibri"/>
          <w:color w:val="525866"/>
          <w:sz w:val="22"/>
        </w:rPr>
        <w:t xml:space="preserve">, suggesting the market has not priced in a beat and the setup is constructive if management delivers on synergy visibility and portfolio review clarity. The key wildcard is the </w:t>
      </w:r>
      <w:r>
        <w:rPr>
          <w:rFonts w:ascii="Calibri" w:hAnsi="Calibri"/>
          <w:b/>
          <w:color w:val="525866"/>
          <w:sz w:val="22"/>
        </w:rPr>
        <w:t>combined full-year 2026 guidance</w:t>
      </w:r>
      <w:r>
        <w:rPr>
          <w:rFonts w:ascii="Calibri" w:hAnsi="Calibri"/>
          <w:color w:val="525866"/>
          <w:sz w:val="22"/>
        </w:rPr>
        <w:t xml:space="preserve"> — promised for mid-June — and whether the $1B synergy target (characterized as a floor) is being tracked ahead of schedule, as it was with the prior business optimization program.</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wide-range bar given first-quarter combined entity modeling uncertainty; </w:t>
      </w:r>
      <w:r>
        <w:rPr>
          <w:rFonts w:ascii="Calibri" w:hAnsi="Calibri"/>
          <w:b/>
          <w:color w:val="525866"/>
          <w:sz w:val="22"/>
        </w:rPr>
        <w:t>oil production and free cash flow are the two swing factors</w:t>
      </w:r>
      <w:r>
        <w:rPr>
          <w:rFonts w:ascii="Calibri" w:hAnsi="Calibri"/>
          <w:color w:val="525866"/>
          <w:sz w:val="22"/>
        </w:rPr>
        <w:t>. The combined entity scale-up makes YoY comparisons less meaningful — focus on sequential trends and guidance vs. actuals.</w:t>
      </w:r>
    </w:p>
    <w:p>
      <w:r>
        <w:rPr>
          <w:rFonts w:ascii="Calibri" w:hAnsi="Calibri"/>
          <w:b/>
          <w:color w:val="525866"/>
          <w:sz w:val="22"/>
        </w:rPr>
        <w:t>Table 1 — Current Quarter Snapshot (Q2 2026)</w:t>
      </w:r>
      <w:r>
        <w:rPr>
          <w:rFonts w:ascii="Calibri" w:hAnsi="Calibri"/>
          <w:color w:val="525866"/>
          <w:sz w:val="22"/>
        </w:rPr>
        <w:t>. Note: Prior period actuals reflect Devon standalone only. Q2 2026 consensus reflects combined Devon+Coterra entity post-May 7, 2026 merger close. YoY comparisons are not apples-to-apples.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(Standalone)</w:t>
            </w:r>
          </w:p>
        </w:tc>
        <w:tc>
          <w:tcPr>
            <w:tcW w:type="dxa" w:w="1234"/>
            <w:shd w:val="clear" w:color="auto" w:fill="3B4259"/>
          </w:tcPr>
          <w:p>
            <w:r>
              <w:rPr>
                <w:rFonts w:ascii="Calibri" w:hAnsi="Calibri"/>
                <w:b/>
                <w:color w:val="FFFFFF"/>
                <w:sz w:val="22"/>
              </w:rPr>
              <w:t>Q2 2025 Actual (Standalone)</w:t>
            </w:r>
          </w:p>
        </w:tc>
        <w:tc>
          <w:tcPr>
            <w:tcW w:type="dxa" w:w="1234"/>
            <w:shd w:val="clear" w:color="auto" w:fill="3B4259"/>
          </w:tcPr>
          <w:p>
            <w:r>
              <w:rPr>
                <w:rFonts w:ascii="Calibri" w:hAnsi="Calibri"/>
                <w:b/>
                <w:color w:val="FFFFFF"/>
                <w:sz w:val="22"/>
              </w:rPr>
              <w:t>Q2 2026 Consensus (Combined)</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Oil Production (Mbpd)</w:t>
            </w:r>
          </w:p>
        </w:tc>
        <w:tc>
          <w:tcPr>
            <w:tcW w:type="dxa" w:w="1234"/>
          </w:tcPr>
          <w:p>
            <w:r>
              <w:rPr>
                <w:rFonts w:ascii="Calibri" w:hAnsi="Calibri"/>
                <w:sz w:val="22"/>
              </w:rPr>
              <w:t>387</w:t>
            </w:r>
          </w:p>
        </w:tc>
        <w:tc>
          <w:tcPr>
            <w:tcW w:type="dxa" w:w="1234"/>
          </w:tcPr>
          <w:p>
            <w:r>
              <w:rPr>
                <w:rFonts w:ascii="Calibri" w:hAnsi="Calibri"/>
                <w:sz w:val="22"/>
              </w:rPr>
              <w:t>387</w:t>
            </w:r>
          </w:p>
        </w:tc>
        <w:tc>
          <w:tcPr>
            <w:tcW w:type="dxa" w:w="1234"/>
          </w:tcPr>
          <w:p>
            <w:r>
              <w:rPr>
                <w:rFonts w:ascii="Calibri" w:hAnsi="Calibri"/>
                <w:b/>
                <w:sz w:val="22"/>
              </w:rPr>
              <w:t>491</w:t>
            </w:r>
          </w:p>
        </w:tc>
        <w:tc>
          <w:tcPr>
            <w:tcW w:type="dxa" w:w="1234"/>
          </w:tcPr>
          <w:p>
            <w:r>
              <w:rPr>
                <w:rFonts w:ascii="Calibri" w:hAnsi="Calibri"/>
                <w:sz w:val="22"/>
              </w:rPr>
              <w:t>+27% vs. standalone</w:t>
            </w:r>
          </w:p>
        </w:tc>
        <w:tc>
          <w:tcPr>
            <w:tcW w:type="dxa" w:w="1234"/>
          </w:tcPr>
          <w:p>
            <w:r>
              <w:rPr>
                <w:rFonts w:ascii="Calibri" w:hAnsi="Calibri"/>
                <w:sz w:val="22"/>
              </w:rPr>
              <w:t>N/A — combined guidance deferred to mid-June</w:t>
            </w:r>
          </w:p>
        </w:tc>
        <w:tc>
          <w:tcPr>
            <w:tcW w:type="dxa" w:w="1234"/>
          </w:tcPr>
          <w:p>
            <w:r>
              <w:rPr>
                <w:rFonts w:ascii="Calibri" w:hAnsi="Calibri"/>
                <w:sz w:val="22"/>
              </w:rPr>
              <w:t>N/A</w:t>
            </w:r>
          </w:p>
        </w:tc>
      </w:tr>
      <w:tr>
        <w:tc>
          <w:tcPr>
            <w:tcW w:type="dxa" w:w="1234"/>
          </w:tcPr>
          <w:p>
            <w:r>
              <w:rPr>
                <w:rFonts w:ascii="Calibri" w:hAnsi="Calibri"/>
                <w:sz w:val="22"/>
              </w:rPr>
              <w:t>Total BOE Production (Mboe/d)</w:t>
            </w:r>
          </w:p>
        </w:tc>
        <w:tc>
          <w:tcPr>
            <w:tcW w:type="dxa" w:w="1234"/>
          </w:tcPr>
          <w:p>
            <w:r>
              <w:rPr>
                <w:rFonts w:ascii="Calibri" w:hAnsi="Calibri"/>
                <w:sz w:val="22"/>
              </w:rPr>
              <w:t>834</w:t>
            </w:r>
          </w:p>
        </w:tc>
        <w:tc>
          <w:tcPr>
            <w:tcW w:type="dxa" w:w="1234"/>
          </w:tcPr>
          <w:p>
            <w:r>
              <w:rPr>
                <w:rFonts w:ascii="Calibri" w:hAnsi="Calibri"/>
                <w:sz w:val="22"/>
              </w:rPr>
              <w:t>840</w:t>
            </w:r>
          </w:p>
        </w:tc>
        <w:tc>
          <w:tcPr>
            <w:tcW w:type="dxa" w:w="1234"/>
          </w:tcPr>
          <w:p>
            <w:r>
              <w:rPr>
                <w:rFonts w:ascii="Calibri" w:hAnsi="Calibri"/>
                <w:b/>
                <w:sz w:val="22"/>
              </w:rPr>
              <w:t>1,316</w:t>
            </w:r>
          </w:p>
        </w:tc>
        <w:tc>
          <w:tcPr>
            <w:tcW w:type="dxa" w:w="1234"/>
          </w:tcPr>
          <w:p>
            <w:r>
              <w:rPr>
                <w:rFonts w:ascii="Calibri" w:hAnsi="Calibri"/>
                <w:sz w:val="22"/>
              </w:rPr>
              <w:t>+57% vs. standalone</w:t>
            </w:r>
          </w:p>
        </w:tc>
        <w:tc>
          <w:tcPr>
            <w:tcW w:type="dxa" w:w="1234"/>
          </w:tcPr>
          <w:p>
            <w:r>
              <w:rPr>
                <w:rFonts w:ascii="Calibri" w:hAnsi="Calibri"/>
                <w:sz w:val="22"/>
              </w:rPr>
              <w:t>N/A — combined guidance deferred</w:t>
            </w:r>
          </w:p>
        </w:tc>
        <w:tc>
          <w:tcPr>
            <w:tcW w:type="dxa" w:w="1234"/>
          </w:tcPr>
          <w:p>
            <w:r>
              <w:rPr>
                <w:rFonts w:ascii="Calibri" w:hAnsi="Calibri"/>
                <w:sz w:val="22"/>
              </w:rPr>
              <w:t>N/A</w:t>
            </w:r>
          </w:p>
        </w:tc>
      </w:tr>
      <w:tr>
        <w:tc>
          <w:tcPr>
            <w:tcW w:type="dxa" w:w="1234"/>
          </w:tcPr>
          <w:p>
            <w:r>
              <w:rPr>
                <w:rFonts w:ascii="Calibri" w:hAnsi="Calibri"/>
                <w:sz w:val="22"/>
              </w:rPr>
              <w:t>Revenue ($B)</w:t>
            </w:r>
          </w:p>
        </w:tc>
        <w:tc>
          <w:tcPr>
            <w:tcW w:type="dxa" w:w="1234"/>
          </w:tcPr>
          <w:p>
            <w:r>
              <w:rPr>
                <w:rFonts w:ascii="Calibri" w:hAnsi="Calibri"/>
                <w:sz w:val="22"/>
              </w:rPr>
              <w:t>$3.81</w:t>
            </w:r>
          </w:p>
        </w:tc>
        <w:tc>
          <w:tcPr>
            <w:tcW w:type="dxa" w:w="1234"/>
          </w:tcPr>
          <w:p>
            <w:r>
              <w:rPr>
                <w:rFonts w:ascii="Calibri" w:hAnsi="Calibri"/>
                <w:sz w:val="22"/>
              </w:rPr>
              <w:t>$4.28</w:t>
            </w:r>
          </w:p>
        </w:tc>
        <w:tc>
          <w:tcPr>
            <w:tcW w:type="dxa" w:w="1234"/>
          </w:tcPr>
          <w:p>
            <w:r>
              <w:rPr>
                <w:rFonts w:ascii="Calibri" w:hAnsi="Calibri"/>
                <w:b/>
                <w:sz w:val="22"/>
              </w:rPr>
              <w:t>$6.50</w:t>
            </w:r>
          </w:p>
        </w:tc>
        <w:tc>
          <w:tcPr>
            <w:tcW w:type="dxa" w:w="1234"/>
          </w:tcPr>
          <w:p>
            <w:r>
              <w:rPr>
                <w:rFonts w:ascii="Calibri" w:hAnsi="Calibri"/>
                <w:sz w:val="22"/>
              </w:rPr>
              <w:t>+52% vs. standalone</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EBITDAX — Operating ($B)</w:t>
            </w:r>
          </w:p>
        </w:tc>
        <w:tc>
          <w:tcPr>
            <w:tcW w:type="dxa" w:w="1234"/>
          </w:tcPr>
          <w:p>
            <w:r>
              <w:rPr>
                <w:rFonts w:ascii="Calibri" w:hAnsi="Calibri"/>
                <w:sz w:val="22"/>
              </w:rPr>
              <w:t>$1.91</w:t>
            </w:r>
          </w:p>
        </w:tc>
        <w:tc>
          <w:tcPr>
            <w:tcW w:type="dxa" w:w="1234"/>
          </w:tcPr>
          <w:p>
            <w:r>
              <w:rPr>
                <w:rFonts w:ascii="Calibri" w:hAnsi="Calibri"/>
                <w:sz w:val="22"/>
              </w:rPr>
              <w:t>$1.77</w:t>
            </w:r>
          </w:p>
        </w:tc>
        <w:tc>
          <w:tcPr>
            <w:tcW w:type="dxa" w:w="1234"/>
          </w:tcPr>
          <w:p>
            <w:r>
              <w:rPr>
                <w:rFonts w:ascii="Calibri" w:hAnsi="Calibri"/>
                <w:b/>
                <w:sz w:val="22"/>
              </w:rPr>
              <w:t>$3.37</w:t>
            </w:r>
          </w:p>
        </w:tc>
        <w:tc>
          <w:tcPr>
            <w:tcW w:type="dxa" w:w="1234"/>
          </w:tcPr>
          <w:p>
            <w:r>
              <w:rPr>
                <w:rFonts w:ascii="Calibri" w:hAnsi="Calibri"/>
                <w:sz w:val="22"/>
              </w:rPr>
              <w:t>+90% vs. standalone</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EPS — Diluted Operating ($)</w:t>
            </w:r>
          </w:p>
        </w:tc>
        <w:tc>
          <w:tcPr>
            <w:tcW w:type="dxa" w:w="1234"/>
          </w:tcPr>
          <w:p>
            <w:r>
              <w:rPr>
                <w:rFonts w:ascii="Calibri" w:hAnsi="Calibri"/>
                <w:sz w:val="22"/>
              </w:rPr>
              <w:t>$1.04</w:t>
            </w:r>
          </w:p>
        </w:tc>
        <w:tc>
          <w:tcPr>
            <w:tcW w:type="dxa" w:w="1234"/>
          </w:tcPr>
          <w:p>
            <w:r>
              <w:rPr>
                <w:rFonts w:ascii="Calibri" w:hAnsi="Calibri"/>
                <w:sz w:val="22"/>
              </w:rPr>
              <w:t>$0.84</w:t>
            </w:r>
          </w:p>
        </w:tc>
        <w:tc>
          <w:tcPr>
            <w:tcW w:type="dxa" w:w="1234"/>
          </w:tcPr>
          <w:p>
            <w:r>
              <w:rPr>
                <w:rFonts w:ascii="Calibri" w:hAnsi="Calibri"/>
                <w:b/>
                <w:sz w:val="22"/>
              </w:rPr>
              <w:t>$1.46</w:t>
            </w:r>
          </w:p>
        </w:tc>
        <w:tc>
          <w:tcPr>
            <w:tcW w:type="dxa" w:w="1234"/>
          </w:tcPr>
          <w:p>
            <w:r>
              <w:rPr>
                <w:rFonts w:ascii="Calibri" w:hAnsi="Calibri"/>
                <w:sz w:val="22"/>
              </w:rPr>
              <w:t>+74% vs. standalone</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Capital Expenditures ($B)</w:t>
            </w:r>
          </w:p>
        </w:tc>
        <w:tc>
          <w:tcPr>
            <w:tcW w:type="dxa" w:w="1234"/>
          </w:tcPr>
          <w:p>
            <w:r>
              <w:rPr>
                <w:rFonts w:ascii="Calibri" w:hAnsi="Calibri"/>
                <w:sz w:val="22"/>
              </w:rPr>
              <w:t>$0.84</w:t>
            </w:r>
          </w:p>
        </w:tc>
        <w:tc>
          <w:tcPr>
            <w:tcW w:type="dxa" w:w="1234"/>
          </w:tcPr>
          <w:p>
            <w:r>
              <w:rPr>
                <w:rFonts w:ascii="Calibri" w:hAnsi="Calibri"/>
                <w:sz w:val="22"/>
              </w:rPr>
              <w:t>$0.96</w:t>
            </w:r>
          </w:p>
        </w:tc>
        <w:tc>
          <w:tcPr>
            <w:tcW w:type="dxa" w:w="1234"/>
          </w:tcPr>
          <w:p>
            <w:r>
              <w:rPr>
                <w:rFonts w:ascii="Calibri" w:hAnsi="Calibri"/>
                <w:b/>
                <w:sz w:val="22"/>
              </w:rPr>
              <w:t>$1.24</w:t>
            </w:r>
          </w:p>
        </w:tc>
        <w:tc>
          <w:tcPr>
            <w:tcW w:type="dxa" w:w="1234"/>
          </w:tcPr>
          <w:p>
            <w:r>
              <w:rPr>
                <w:rFonts w:ascii="Calibri" w:hAnsi="Calibri"/>
                <w:sz w:val="22"/>
              </w:rPr>
              <w:t>+30% vs. standalone</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$0.82</w:t>
            </w:r>
          </w:p>
        </w:tc>
        <w:tc>
          <w:tcPr>
            <w:tcW w:type="dxa" w:w="1234"/>
          </w:tcPr>
          <w:p>
            <w:r>
              <w:rPr>
                <w:rFonts w:ascii="Calibri" w:hAnsi="Calibri"/>
                <w:sz w:val="22"/>
              </w:rPr>
              <w:t>$0.48</w:t>
            </w:r>
          </w:p>
        </w:tc>
        <w:tc>
          <w:tcPr>
            <w:tcW w:type="dxa" w:w="1234"/>
          </w:tcPr>
          <w:p>
            <w:r>
              <w:rPr>
                <w:rFonts w:ascii="Calibri" w:hAnsi="Calibri"/>
                <w:b/>
                <w:sz w:val="22"/>
              </w:rPr>
              <w:t>$1.35</w:t>
            </w:r>
          </w:p>
        </w:tc>
        <w:tc>
          <w:tcPr>
            <w:tcW w:type="dxa" w:w="1234"/>
          </w:tcPr>
          <w:p>
            <w:r>
              <w:rPr>
                <w:rFonts w:ascii="Calibri" w:hAnsi="Calibri"/>
                <w:sz w:val="22"/>
              </w:rPr>
              <w:t>+181% vs. standalone</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LOE per BOE ($/BOE)</w:t>
            </w:r>
          </w:p>
        </w:tc>
        <w:tc>
          <w:tcPr>
            <w:tcW w:type="dxa" w:w="1234"/>
          </w:tcPr>
          <w:p>
            <w:r>
              <w:rPr>
                <w:rFonts w:ascii="Calibri" w:hAnsi="Calibri"/>
                <w:sz w:val="22"/>
              </w:rPr>
              <w:t>$9.02</w:t>
            </w:r>
          </w:p>
        </w:tc>
        <w:tc>
          <w:tcPr>
            <w:tcW w:type="dxa" w:w="1234"/>
          </w:tcPr>
          <w:p>
            <w:r>
              <w:rPr>
                <w:rFonts w:ascii="Calibri" w:hAnsi="Calibri"/>
                <w:sz w:val="22"/>
              </w:rPr>
              <w:t>$9.18</w:t>
            </w:r>
          </w:p>
        </w:tc>
        <w:tc>
          <w:tcPr>
            <w:tcW w:type="dxa" w:w="1234"/>
          </w:tcPr>
          <w:p>
            <w:r>
              <w:rPr>
                <w:rFonts w:ascii="Calibri" w:hAnsi="Calibri"/>
                <w:b/>
                <w:sz w:val="22"/>
              </w:rPr>
              <w:t>$8.40</w:t>
            </w:r>
          </w:p>
        </w:tc>
        <w:tc>
          <w:tcPr>
            <w:tcW w:type="dxa" w:w="1234"/>
          </w:tcPr>
          <w:p>
            <w:r>
              <w:rPr>
                <w:rFonts w:ascii="Calibri" w:hAnsi="Calibri"/>
                <w:sz w:val="22"/>
              </w:rPr>
              <w:t>-8% vs. standalone</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 YoY comparisons are not apples-to-apples: Q2 2026 consensus reflects combined Devon+Coterra; Q2 2025 actuals are Devon standalone. Source: Visible Alpha Consensus and Actuals Data.</w:t>
      </w:r>
    </w:p>
    <w:p>
      <w:r>
        <w:rPr>
          <w:rFonts w:ascii="Calibri" w:hAnsi="Calibri"/>
          <w:b/>
          <w:color w:val="525866"/>
          <w:sz w:val="22"/>
        </w:rPr>
        <w:t>Table 2 — Beat/Miss History (Last 8 Quarters)</w:t>
      </w:r>
      <w:r>
        <w:rPr>
          <w:rFonts w:ascii="Calibri" w:hAnsi="Calibri"/>
          <w:color w:val="525866"/>
          <w:sz w:val="22"/>
        </w:rPr>
        <w:t xml:space="preserve"> | Top 2 KPIs: Total Oil Production (Mbpd) and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b/>
                <w:sz w:val="22"/>
              </w:rPr>
              <w:t>Oil Production (Mbpd)</w:t>
            </w:r>
          </w:p>
        </w:tc>
        <w:tc>
          <w:tcPr>
            <w:tcW w:type="dxa" w:w="1728"/>
          </w:tcPr>
          <w:p>
            <w:r>
              <w:rPr>
                <w:rFonts w:ascii="Calibri" w:hAnsi="Calibri"/>
                <w:sz w:val="22"/>
              </w:rPr>
            </w:r>
          </w:p>
        </w:tc>
        <w:tc>
          <w:tcPr>
            <w:tcW w:type="dxa" w:w="1728"/>
          </w:tcPr>
          <w:p>
            <w:r>
              <w:rPr>
                <w:rFonts w:ascii="Calibri" w:hAnsi="Calibri"/>
                <w:sz w:val="22"/>
              </w:rPr>
            </w:r>
          </w:p>
        </w:tc>
        <w:tc>
          <w:tcPr>
            <w:tcW w:type="dxa" w:w="1728"/>
          </w:tcPr>
          <w:p>
            <w:r>
              <w:rPr>
                <w:rFonts w:ascii="Calibri" w:hAnsi="Calibri"/>
                <w:sz w:val="22"/>
              </w:rPr>
            </w:r>
          </w:p>
        </w:tc>
        <w:tc>
          <w:tcPr>
            <w:tcW w:type="dxa" w:w="1728"/>
          </w:tcPr>
          <w:p>
            <w:r>
              <w:rPr>
                <w:rFonts w:ascii="Calibri" w:hAnsi="Calibri"/>
                <w:sz w:val="22"/>
              </w:rPr>
            </w:r>
          </w:p>
        </w:tc>
      </w:tr>
      <w:tr>
        <w:tc>
          <w:tcPr>
            <w:tcW w:type="dxa" w:w="1728"/>
          </w:tcPr>
          <w:p>
            <w:r>
              <w:rPr>
                <w:rFonts w:ascii="Calibri" w:hAnsi="Calibri"/>
                <w:sz w:val="22"/>
              </w:rPr>
              <w:t>Q2 2024</w:t>
            </w:r>
          </w:p>
        </w:tc>
        <w:tc>
          <w:tcPr>
            <w:tcW w:type="dxa" w:w="1728"/>
          </w:tcPr>
          <w:p>
            <w:r>
              <w:rPr>
                <w:rFonts w:ascii="Calibri" w:hAnsi="Calibri"/>
                <w:sz w:val="22"/>
              </w:rPr>
              <w:t>335</w:t>
            </w:r>
          </w:p>
        </w:tc>
        <w:tc>
          <w:tcPr>
            <w:tcW w:type="dxa" w:w="1728"/>
          </w:tcPr>
          <w:p>
            <w:r>
              <w:rPr>
                <w:rFonts w:ascii="Calibri" w:hAnsi="Calibri"/>
                <w:sz w:val="22"/>
              </w:rPr>
              <w:t>326</w:t>
            </w:r>
          </w:p>
        </w:tc>
        <w:tc>
          <w:tcPr>
            <w:tcW w:type="dxa" w:w="1728"/>
          </w:tcPr>
          <w:p>
            <w:r>
              <w:rPr>
                <w:rFonts w:ascii="Calibri" w:hAnsi="Calibri"/>
                <w:b/>
                <w:color w:val="30A46C"/>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335</w:t>
            </w:r>
          </w:p>
        </w:tc>
        <w:tc>
          <w:tcPr>
            <w:tcW w:type="dxa" w:w="1728"/>
          </w:tcPr>
          <w:p>
            <w:r>
              <w:rPr>
                <w:rFonts w:ascii="Calibri" w:hAnsi="Calibri"/>
                <w:sz w:val="22"/>
              </w:rPr>
              <w:t>327</w:t>
            </w:r>
          </w:p>
        </w:tc>
        <w:tc>
          <w:tcPr>
            <w:tcW w:type="dxa" w:w="1728"/>
          </w:tcPr>
          <w:p>
            <w:r>
              <w:rPr>
                <w:rFonts w:ascii="Calibri" w:hAnsi="Calibri"/>
                <w:b/>
                <w:color w:val="30A46C"/>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398</w:t>
            </w:r>
          </w:p>
        </w:tc>
        <w:tc>
          <w:tcPr>
            <w:tcW w:type="dxa" w:w="1728"/>
          </w:tcPr>
          <w:p>
            <w:r>
              <w:rPr>
                <w:rFonts w:ascii="Calibri" w:hAnsi="Calibri"/>
                <w:sz w:val="22"/>
              </w:rPr>
              <w:t>387</w:t>
            </w:r>
          </w:p>
        </w:tc>
        <w:tc>
          <w:tcPr>
            <w:tcW w:type="dxa" w:w="1728"/>
          </w:tcPr>
          <w:p>
            <w:r>
              <w:rPr>
                <w:rFonts w:ascii="Calibri" w:hAnsi="Calibri"/>
                <w:b/>
                <w:color w:val="30A46C"/>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388</w:t>
            </w:r>
          </w:p>
        </w:tc>
        <w:tc>
          <w:tcPr>
            <w:tcW w:type="dxa" w:w="1728"/>
          </w:tcPr>
          <w:p>
            <w:r>
              <w:rPr>
                <w:rFonts w:ascii="Calibri" w:hAnsi="Calibri"/>
                <w:sz w:val="22"/>
              </w:rPr>
              <w:t>385</w:t>
            </w:r>
          </w:p>
        </w:tc>
        <w:tc>
          <w:tcPr>
            <w:tcW w:type="dxa" w:w="1728"/>
          </w:tcPr>
          <w:p>
            <w:r>
              <w:rPr>
                <w:rFonts w:ascii="Calibri" w:hAnsi="Calibri"/>
                <w:b/>
                <w:color w:val="30A46C"/>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387</w:t>
            </w:r>
          </w:p>
        </w:tc>
        <w:tc>
          <w:tcPr>
            <w:tcW w:type="dxa" w:w="1728"/>
          </w:tcPr>
          <w:p>
            <w:r>
              <w:rPr>
                <w:rFonts w:ascii="Calibri" w:hAnsi="Calibri"/>
                <w:sz w:val="22"/>
              </w:rPr>
              <w:t>386</w:t>
            </w:r>
          </w:p>
        </w:tc>
        <w:tc>
          <w:tcPr>
            <w:tcW w:type="dxa" w:w="1728"/>
          </w:tcPr>
          <w:p>
            <w:r>
              <w:rPr>
                <w:rFonts w:ascii="Calibri" w:hAnsi="Calibri"/>
                <w:b/>
                <w:color w:val="30A46C"/>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390</w:t>
            </w:r>
          </w:p>
        </w:tc>
        <w:tc>
          <w:tcPr>
            <w:tcW w:type="dxa" w:w="1728"/>
          </w:tcPr>
          <w:p>
            <w:r>
              <w:rPr>
                <w:rFonts w:ascii="Calibri" w:hAnsi="Calibri"/>
                <w:sz w:val="22"/>
              </w:rPr>
              <w:t>388</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390</w:t>
            </w:r>
          </w:p>
        </w:tc>
        <w:tc>
          <w:tcPr>
            <w:tcW w:type="dxa" w:w="1728"/>
          </w:tcPr>
          <w:p>
            <w:r>
              <w:rPr>
                <w:rFonts w:ascii="Calibri" w:hAnsi="Calibri"/>
                <w:sz w:val="22"/>
              </w:rPr>
              <w:t>387</w:t>
            </w:r>
          </w:p>
        </w:tc>
        <w:tc>
          <w:tcPr>
            <w:tcW w:type="dxa" w:w="1728"/>
          </w:tcPr>
          <w:p>
            <w:r>
              <w:rPr>
                <w:rFonts w:ascii="Calibri" w:hAnsi="Calibri"/>
                <w:b/>
                <w:color w:val="30A46C"/>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387</w:t>
            </w:r>
          </w:p>
        </w:tc>
        <w:tc>
          <w:tcPr>
            <w:tcW w:type="dxa" w:w="1728"/>
          </w:tcPr>
          <w:p>
            <w:r>
              <w:rPr>
                <w:rFonts w:ascii="Calibri" w:hAnsi="Calibri"/>
                <w:sz w:val="22"/>
              </w:rPr>
              <w:t>385</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b/>
                <w:sz w:val="22"/>
              </w:rPr>
              <w:t>EPS — Diluted Operating ($)</w:t>
            </w:r>
          </w:p>
        </w:tc>
        <w:tc>
          <w:tcPr>
            <w:tcW w:type="dxa" w:w="1728"/>
          </w:tcPr>
          <w:p>
            <w:r>
              <w:rPr>
                <w:rFonts w:ascii="Calibri" w:hAnsi="Calibri"/>
                <w:sz w:val="22"/>
              </w:rPr>
            </w:r>
          </w:p>
        </w:tc>
        <w:tc>
          <w:tcPr>
            <w:tcW w:type="dxa" w:w="1728"/>
          </w:tcPr>
          <w:p>
            <w:r>
              <w:rPr>
                <w:rFonts w:ascii="Calibri" w:hAnsi="Calibri"/>
                <w:sz w:val="22"/>
              </w:rPr>
            </w:r>
          </w:p>
        </w:tc>
        <w:tc>
          <w:tcPr>
            <w:tcW w:type="dxa" w:w="1728"/>
          </w:tcPr>
          <w:p>
            <w:r>
              <w:rPr>
                <w:rFonts w:ascii="Calibri" w:hAnsi="Calibri"/>
                <w:sz w:val="22"/>
              </w:rPr>
            </w:r>
          </w:p>
        </w:tc>
        <w:tc>
          <w:tcPr>
            <w:tcW w:type="dxa" w:w="1728"/>
          </w:tcPr>
          <w:p>
            <w:r>
              <w:rPr>
                <w:rFonts w:ascii="Calibri" w:hAnsi="Calibri"/>
                <w:sz w:val="22"/>
              </w:rPr>
            </w:r>
          </w:p>
        </w:tc>
      </w:tr>
      <w:tr>
        <w:tc>
          <w:tcPr>
            <w:tcW w:type="dxa" w:w="1728"/>
          </w:tcPr>
          <w:p>
            <w:r>
              <w:rPr>
                <w:rFonts w:ascii="Calibri" w:hAnsi="Calibri"/>
                <w:sz w:val="22"/>
              </w:rPr>
              <w:t>Q2 2024</w:t>
            </w:r>
          </w:p>
        </w:tc>
        <w:tc>
          <w:tcPr>
            <w:tcW w:type="dxa" w:w="1728"/>
          </w:tcPr>
          <w:p>
            <w:r>
              <w:rPr>
                <w:rFonts w:ascii="Calibri" w:hAnsi="Calibri"/>
                <w:sz w:val="22"/>
              </w:rPr>
              <w:t>$1.41</w:t>
            </w:r>
          </w:p>
        </w:tc>
        <w:tc>
          <w:tcPr>
            <w:tcW w:type="dxa" w:w="1728"/>
          </w:tcPr>
          <w:p>
            <w:r>
              <w:rPr>
                <w:rFonts w:ascii="Calibri" w:hAnsi="Calibri"/>
                <w:sz w:val="22"/>
              </w:rPr>
              <w:t>$1.28</w:t>
            </w:r>
          </w:p>
        </w:tc>
        <w:tc>
          <w:tcPr>
            <w:tcW w:type="dxa" w:w="1728"/>
          </w:tcPr>
          <w:p>
            <w:r>
              <w:rPr>
                <w:rFonts w:ascii="Calibri" w:hAnsi="Calibri"/>
                <w:b/>
                <w:color w:val="30A46C"/>
                <w:sz w:val="22"/>
              </w:rPr>
              <w:t>+10.2%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$1.10</w:t>
            </w:r>
          </w:p>
        </w:tc>
        <w:tc>
          <w:tcPr>
            <w:tcW w:type="dxa" w:w="1728"/>
          </w:tcPr>
          <w:p>
            <w:r>
              <w:rPr>
                <w:rFonts w:ascii="Calibri" w:hAnsi="Calibri"/>
                <w:sz w:val="22"/>
              </w:rPr>
              <w:t>$1.09</w:t>
            </w:r>
          </w:p>
        </w:tc>
        <w:tc>
          <w:tcPr>
            <w:tcW w:type="dxa" w:w="1728"/>
          </w:tcPr>
          <w:p>
            <w:r>
              <w:rPr>
                <w:rFonts w:ascii="Calibri" w:hAnsi="Calibri"/>
                <w:b/>
                <w:color w:val="30A46C"/>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$1.16</w:t>
            </w:r>
          </w:p>
        </w:tc>
        <w:tc>
          <w:tcPr>
            <w:tcW w:type="dxa" w:w="1728"/>
          </w:tcPr>
          <w:p>
            <w:r>
              <w:rPr>
                <w:rFonts w:ascii="Calibri" w:hAnsi="Calibri"/>
                <w:sz w:val="22"/>
              </w:rPr>
              <w:t>$0.99</w:t>
            </w:r>
          </w:p>
        </w:tc>
        <w:tc>
          <w:tcPr>
            <w:tcW w:type="dxa" w:w="1728"/>
          </w:tcPr>
          <w:p>
            <w:r>
              <w:rPr>
                <w:rFonts w:ascii="Calibri" w:hAnsi="Calibri"/>
                <w:b/>
                <w:color w:val="30A46C"/>
                <w:sz w:val="22"/>
              </w:rPr>
              <w:t>+17.2%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$1.21</w:t>
            </w:r>
          </w:p>
        </w:tc>
        <w:tc>
          <w:tcPr>
            <w:tcW w:type="dxa" w:w="1728"/>
          </w:tcPr>
          <w:p>
            <w:r>
              <w:rPr>
                <w:rFonts w:ascii="Calibri" w:hAnsi="Calibri"/>
                <w:sz w:val="22"/>
              </w:rPr>
              <w:t>$1.28</w:t>
            </w:r>
          </w:p>
        </w:tc>
        <w:tc>
          <w:tcPr>
            <w:tcW w:type="dxa" w:w="1728"/>
          </w:tcPr>
          <w:p>
            <w:r>
              <w:rPr>
                <w:rFonts w:ascii="Calibri" w:hAnsi="Calibri"/>
                <w:b/>
                <w:color w:val="E5484D"/>
                <w:sz w:val="22"/>
              </w:rPr>
              <w:t>-5.5%</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$0.84</w:t>
            </w:r>
          </w:p>
        </w:tc>
        <w:tc>
          <w:tcPr>
            <w:tcW w:type="dxa" w:w="1728"/>
          </w:tcPr>
          <w:p>
            <w:r>
              <w:rPr>
                <w:rFonts w:ascii="Calibri" w:hAnsi="Calibri"/>
                <w:sz w:val="22"/>
              </w:rPr>
              <w:t>$0.85</w:t>
            </w:r>
          </w:p>
        </w:tc>
        <w:tc>
          <w:tcPr>
            <w:tcW w:type="dxa" w:w="1728"/>
          </w:tcPr>
          <w:p>
            <w:r>
              <w:rPr>
                <w:rFonts w:ascii="Calibri" w:hAnsi="Calibri"/>
                <w:b/>
                <w:color w:val="E5484D"/>
                <w:sz w:val="22"/>
              </w:rPr>
              <w:t>-1.2%</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$1.04</w:t>
            </w:r>
          </w:p>
        </w:tc>
        <w:tc>
          <w:tcPr>
            <w:tcW w:type="dxa" w:w="1728"/>
          </w:tcPr>
          <w:p>
            <w:r>
              <w:rPr>
                <w:rFonts w:ascii="Calibri" w:hAnsi="Calibri"/>
                <w:sz w:val="22"/>
              </w:rPr>
              <w:t>$0.94</w:t>
            </w:r>
          </w:p>
        </w:tc>
        <w:tc>
          <w:tcPr>
            <w:tcW w:type="dxa" w:w="1728"/>
          </w:tcPr>
          <w:p>
            <w:r>
              <w:rPr>
                <w:rFonts w:ascii="Calibri" w:hAnsi="Calibri"/>
                <w:b/>
                <w:color w:val="30A46C"/>
                <w:sz w:val="22"/>
              </w:rPr>
              <w:t>+10.6%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$0.82</w:t>
            </w:r>
          </w:p>
        </w:tc>
        <w:tc>
          <w:tcPr>
            <w:tcW w:type="dxa" w:w="1728"/>
          </w:tcPr>
          <w:p>
            <w:r>
              <w:rPr>
                <w:rFonts w:ascii="Calibri" w:hAnsi="Calibri"/>
                <w:sz w:val="22"/>
              </w:rPr>
              <w:t>$0.80</w:t>
            </w:r>
          </w:p>
        </w:tc>
        <w:tc>
          <w:tcPr>
            <w:tcW w:type="dxa" w:w="1728"/>
          </w:tcPr>
          <w:p>
            <w:r>
              <w:rPr>
                <w:rFonts w:ascii="Calibri" w:hAnsi="Calibri"/>
                <w:b/>
                <w:color w:val="30A46C"/>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$1.04</w:t>
            </w:r>
          </w:p>
        </w:tc>
        <w:tc>
          <w:tcPr>
            <w:tcW w:type="dxa" w:w="1728"/>
          </w:tcPr>
          <w:p>
            <w:r>
              <w:rPr>
                <w:rFonts w:ascii="Calibri" w:hAnsi="Calibri"/>
                <w:sz w:val="22"/>
              </w:rPr>
              <w:t>$1.06</w:t>
            </w:r>
          </w:p>
        </w:tc>
        <w:tc>
          <w:tcPr>
            <w:tcW w:type="dxa" w:w="1728"/>
          </w:tcPr>
          <w:p>
            <w:r>
              <w:rPr>
                <w:rFonts w:ascii="Calibri" w:hAnsi="Calibri"/>
                <w:b/>
                <w:color w:val="E5484D"/>
                <w:sz w:val="22"/>
              </w:rPr>
              <w:t>-1.9%</w:t>
            </w:r>
          </w:p>
        </w:tc>
        <w:tc>
          <w:tcPr>
            <w:tcW w:type="dxa" w:w="1728"/>
          </w:tcPr>
          <w:p>
            <w:r>
              <w:rPr>
                <w:rFonts w:ascii="Calibri" w:hAnsi="Calibri"/>
                <w:b/>
                <w:color w:val="E5484D"/>
                <w:sz w:val="22"/>
              </w:rPr>
              <w:t>Miss</w:t>
            </w:r>
          </w:p>
        </w:tc>
      </w:tr>
    </w:tbl>
    <w:p>
      <w:r>
        <w:rPr>
          <w:rFonts w:ascii="Calibri" w:hAnsi="Calibri"/>
          <w:i/>
          <w:color w:val="525866"/>
          <w:sz w:val="22"/>
        </w:rPr>
        <w:t xml:space="preserve">Source: Visible Alpha Consensus and Actuals Data. </w:t>
      </w:r>
      <w:r>
        <w:rPr>
          <w:rFonts w:ascii="Calibri" w:hAnsi="Calibri"/>
          <w:i/>
          <w:color w:val="525866"/>
          <w:sz w:val="22"/>
        </w:rPr>
        <w:t>DVN has a near-perfect track record of beating oil production guidance (8 for 8 over the last 8 quarters), typically by 0.3%–2.9%. EPS has been more mixed — 5 beats, 3 misses — with misses concentrated in periods of commodity price weakness or elevated tax rates. The Q1 2026 EPS miss was driven by a higher-than-expected tax rate flip from deferred to current taxes, not operational underperformance.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Combined full-year 2026 guidance was promised for mid-June but has not yet been formally disclosed — this is the </w:t>
      </w:r>
      <w:r>
        <w:rPr>
          <w:rFonts w:ascii="Calibri" w:hAnsi="Calibri"/>
          <w:b/>
          <w:color w:val="525866"/>
          <w:sz w:val="22"/>
        </w:rPr>
        <w:t>single most important deliverable for the Q2 call</w:t>
      </w:r>
      <w:r>
        <w:rPr>
          <w:rFonts w:ascii="Calibri" w:hAnsi="Calibri"/>
          <w:color w:val="525866"/>
          <w:sz w:val="22"/>
        </w:rPr>
        <w:t>. Standalone Q2 guidance was directionally positive (production step-up, strong FCF torque), and the $1B synergy target was characterized as a floor.</w:t>
      </w:r>
    </w:p>
    <w:p>
      <w:r>
        <w:rPr>
          <w:rFonts w:ascii="Calibri" w:hAnsi="Calibri"/>
          <w:i/>
          <w:color w:val="525866"/>
          <w:sz w:val="22"/>
        </w:rPr>
        <w:t>Baseline: Q1 2026 Earnings Call (May 5–6, 2026). Revised Guidance column is blank where no post-earnings event changed the number or language.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Oil Production</w:t>
            </w:r>
          </w:p>
        </w:tc>
        <w:tc>
          <w:tcPr>
            <w:tcW w:type="dxa" w:w="1728"/>
          </w:tcPr>
          <w:p>
            <w:r>
              <w:rPr>
                <w:rFonts w:ascii="Calibri" w:hAnsi="Calibri"/>
                <w:sz w:val="22"/>
              </w:rPr>
              <w:t>Step-up from Q1 387 Mbpd (standalone)</w:t>
            </w:r>
          </w:p>
        </w:tc>
        <w:tc>
          <w:tcPr>
            <w:tcW w:type="dxa" w:w="1728"/>
          </w:tcPr>
          <w:p>
            <w:r>
              <w:rPr>
                <w:rFonts w:ascii="Calibri" w:hAnsi="Calibri"/>
                <w:sz w:val="22"/>
              </w:rPr>
              <w:t>—</w:t>
            </w:r>
          </w:p>
        </w:tc>
        <w:tc>
          <w:tcPr>
            <w:tcW w:type="dxa" w:w="1728"/>
          </w:tcPr>
          <w:p>
            <w:r>
              <w:rPr>
                <w:rFonts w:ascii="Calibri" w:hAnsi="Calibri"/>
                <w:sz w:val="22"/>
              </w:rPr>
              <w:t>491 Mbpd (combined)</w:t>
            </w:r>
          </w:p>
        </w:tc>
        <w:tc>
          <w:tcPr>
            <w:tcW w:type="dxa" w:w="1728"/>
          </w:tcPr>
          <w:p>
            <w:r>
              <w:rPr>
                <w:rFonts w:ascii="Calibri" w:hAnsi="Calibri"/>
                <w:sz w:val="22"/>
              </w:rPr>
              <w:t>Combined guidance deferred to mid-June; consensus reflects Coterra contribution</w:t>
            </w:r>
          </w:p>
        </w:tc>
      </w:tr>
      <w:tr>
        <w:tc>
          <w:tcPr>
            <w:tcW w:type="dxa" w:w="1728"/>
          </w:tcPr>
          <w:p>
            <w:r>
              <w:rPr>
                <w:rFonts w:ascii="Calibri" w:hAnsi="Calibri"/>
                <w:sz w:val="22"/>
              </w:rPr>
              <w:t>Combined FY 2026 Guidance</w:t>
            </w:r>
          </w:p>
        </w:tc>
        <w:tc>
          <w:tcPr>
            <w:tcW w:type="dxa" w:w="1728"/>
          </w:tcPr>
          <w:p>
            <w:r>
              <w:rPr>
                <w:rFonts w:ascii="Calibri" w:hAnsi="Calibri"/>
                <w:sz w:val="22"/>
              </w:rPr>
              <w:t>Deferred to mid-June 2026 post-board alignment</w:t>
            </w:r>
          </w:p>
        </w:tc>
        <w:tc>
          <w:tcPr>
            <w:tcW w:type="dxa" w:w="1728"/>
          </w:tcPr>
          <w:p>
            <w:r>
              <w:rPr>
                <w:rFonts w:ascii="Calibri" w:hAnsi="Calibri"/>
                <w:sz w:val="22"/>
              </w:rPr>
              <w:t>—</w:t>
            </w:r>
          </w:p>
        </w:tc>
        <w:tc>
          <w:tcPr>
            <w:tcW w:type="dxa" w:w="1728"/>
          </w:tcPr>
          <w:p>
            <w:r>
              <w:rPr>
                <w:rFonts w:ascii="Calibri" w:hAnsi="Calibri"/>
                <w:sz w:val="22"/>
              </w:rPr>
              <w:t>~498 Mbpd oil / ~$5.26B capex / ~$5.87B FCF (FY)</w:t>
            </w:r>
          </w:p>
        </w:tc>
        <w:tc>
          <w:tcPr>
            <w:tcW w:type="dxa" w:w="1728"/>
          </w:tcPr>
          <w:p>
            <w:r>
              <w:rPr>
                <w:rFonts w:ascii="Calibri" w:hAnsi="Calibri"/>
                <w:sz w:val="22"/>
              </w:rPr>
              <w:t>Key deliverable for Q2 call — market awaiting formal combined guidance; estimate dispersion will narrow once issued</w:t>
            </w:r>
          </w:p>
        </w:tc>
      </w:tr>
      <w:tr>
        <w:tc>
          <w:tcPr>
            <w:tcW w:type="dxa" w:w="1728"/>
          </w:tcPr>
          <w:p>
            <w:r>
              <w:rPr>
                <w:rFonts w:ascii="Calibri" w:hAnsi="Calibri"/>
                <w:sz w:val="22"/>
              </w:rPr>
              <w:t>Synergy Target</w:t>
            </w:r>
          </w:p>
        </w:tc>
        <w:tc>
          <w:tcPr>
            <w:tcW w:type="dxa" w:w="1728"/>
          </w:tcPr>
          <w:p>
            <w:r>
              <w:rPr>
                <w:rFonts w:ascii="Calibri" w:hAnsi="Calibri"/>
                <w:sz w:val="22"/>
              </w:rPr>
              <w:t>$1B annually by end of 2027 — characterized as ‘floor not ceiling’; 156 distinct opportunities identified pre-close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Execution credibility is key; prior $1B business optimization target was achieved ahead of schedule</w:t>
            </w:r>
          </w:p>
        </w:tc>
      </w:tr>
      <w:tr>
        <w:tc>
          <w:tcPr>
            <w:tcW w:type="dxa" w:w="1728"/>
          </w:tcPr>
          <w:p>
            <w:r>
              <w:rPr>
                <w:rFonts w:ascii="Calibri" w:hAnsi="Calibri"/>
                <w:sz w:val="22"/>
              </w:rPr>
              <w:t>Dividend</w:t>
            </w:r>
          </w:p>
        </w:tc>
        <w:tc>
          <w:tcPr>
            <w:tcW w:type="dxa" w:w="1728"/>
          </w:tcPr>
          <w:p>
            <w:r>
              <w:rPr>
                <w:rFonts w:ascii="Calibri" w:hAnsi="Calibri"/>
                <w:sz w:val="22"/>
              </w:rPr>
              <w:t>&gt;30% increase per share starting Q2 2026 (subject to Board approval)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Announced on Q1 call; confirmation expected on Q2 call</w:t>
            </w:r>
          </w:p>
        </w:tc>
      </w:tr>
      <w:tr>
        <w:tc>
          <w:tcPr>
            <w:tcW w:type="dxa" w:w="1728"/>
          </w:tcPr>
          <w:p>
            <w:r>
              <w:rPr>
                <w:rFonts w:ascii="Calibri" w:hAnsi="Calibri"/>
                <w:sz w:val="22"/>
              </w:rPr>
              <w:t>Share Repurchases</w:t>
            </w:r>
          </w:p>
        </w:tc>
        <w:tc>
          <w:tcPr>
            <w:tcW w:type="dxa" w:w="1728"/>
          </w:tcPr>
          <w:p>
            <w:r>
              <w:rPr>
                <w:rFonts w:ascii="Calibri" w:hAnsi="Calibri"/>
                <w:sz w:val="22"/>
              </w:rPr>
              <w:t>Resume immediately post-close (May 7, 2026); pace to exceed legacy level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Buyback pace vs. legacy level is a key shareholder return signal</w:t>
            </w:r>
          </w:p>
        </w:tc>
      </w:tr>
      <w:tr>
        <w:tc>
          <w:tcPr>
            <w:tcW w:type="dxa" w:w="1728"/>
          </w:tcPr>
          <w:p>
            <w:r>
              <w:rPr>
                <w:rFonts w:ascii="Calibri" w:hAnsi="Calibri"/>
                <w:sz w:val="22"/>
              </w:rPr>
              <w:t>Waha Gas Exposure</w:t>
            </w:r>
          </w:p>
        </w:tc>
        <w:tc>
          <w:tcPr>
            <w:tcW w:type="dxa" w:w="1728"/>
          </w:tcPr>
          <w:p>
            <w:r>
              <w:rPr>
                <w:rFonts w:ascii="Calibri" w:hAnsi="Calibri"/>
                <w:sz w:val="22"/>
              </w:rPr>
              <w:t>Blackcomb pipeline expected later in 2026 to reduce Waha exposure to 10–15%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Structural gas takeaway improvement; positive for gas realizations; EOG confirms Waha turning positive Sept/Oct 2026</w:t>
            </w:r>
          </w:p>
        </w:tc>
      </w:tr>
      <w:tr>
        <w:tc>
          <w:tcPr>
            <w:tcW w:type="dxa" w:w="1728"/>
          </w:tcPr>
          <w:p>
            <w:r>
              <w:rPr>
                <w:rFonts w:ascii="Calibri" w:hAnsi="Calibri"/>
                <w:sz w:val="22"/>
              </w:rPr>
              <w:t>Tax Rate</w:t>
            </w:r>
          </w:p>
        </w:tc>
        <w:tc>
          <w:tcPr>
            <w:tcW w:type="dxa" w:w="1728"/>
          </w:tcPr>
          <w:p>
            <w:r>
              <w:rPr>
                <w:rFonts w:ascii="Calibri" w:hAnsi="Calibri"/>
                <w:sz w:val="22"/>
              </w:rPr>
              <w:t>~10% full-year standalone; higher in near-term quarters due to deferred-to-current tax flip</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Q2 rate guided higher; watch for combined entity tax rate guidance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 2026 have moved </w:t>
      </w:r>
      <w:r>
        <w:rPr>
          <w:rFonts w:ascii="Calibri" w:hAnsi="Calibri"/>
          <w:b/>
          <w:color w:val="525866"/>
          <w:sz w:val="22"/>
        </w:rPr>
        <w:t>significantly higher since the Q1 earnings print</w:t>
      </w:r>
      <w:r>
        <w:rPr>
          <w:rFonts w:ascii="Calibri" w:hAnsi="Calibri"/>
          <w:color w:val="525866"/>
          <w:sz w:val="22"/>
        </w:rPr>
        <w:t xml:space="preserve">, almost entirely driven by the Coterra merger contribution rather than organic revision. The </w:t>
      </w:r>
      <w:r>
        <w:rPr>
          <w:rFonts w:ascii="Calibri" w:hAnsi="Calibri"/>
          <w:b/>
          <w:color w:val="525866"/>
          <w:sz w:val="22"/>
        </w:rPr>
        <w:t>wide analyst estimate range (EPS $1.02–$1.89 for Q2)</w:t>
      </w:r>
      <w:r>
        <w:rPr>
          <w:rFonts w:ascii="Calibri" w:hAnsi="Calibri"/>
          <w:color w:val="525866"/>
          <w:sz w:val="22"/>
        </w:rPr>
        <w:t xml:space="preserve"> reflects genuine modeling uncertainty on the combined entity — not a directional signal. Formal combined FY 2026 guidance is the key missing piece.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as of May 12, 2026 (+5 Days Post Q1 Earnings)</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Oil Production — Q2 2026 (Mbpd)</w:t>
            </w:r>
          </w:p>
        </w:tc>
        <w:tc>
          <w:tcPr>
            <w:tcW w:type="dxa" w:w="1080"/>
          </w:tcPr>
          <w:p>
            <w:r>
              <w:rPr>
                <w:rFonts w:ascii="Calibri" w:hAnsi="Calibri"/>
                <w:sz w:val="22"/>
              </w:rPr>
              <w:t>463</w:t>
            </w:r>
          </w:p>
        </w:tc>
        <w:tc>
          <w:tcPr>
            <w:tcW w:type="dxa" w:w="1080"/>
          </w:tcPr>
          <w:p>
            <w:r>
              <w:rPr>
                <w:rFonts w:ascii="Calibri" w:hAnsi="Calibri"/>
                <w:sz w:val="22"/>
              </w:rPr>
              <w:t>491</w:t>
            </w:r>
          </w:p>
        </w:tc>
        <w:tc>
          <w:tcPr>
            <w:tcW w:type="dxa" w:w="1080"/>
          </w:tcPr>
          <w:p>
            <w:r>
              <w:rPr>
                <w:rFonts w:ascii="Calibri" w:hAnsi="Calibri"/>
                <w:b/>
                <w:color w:val="30A46C"/>
                <w:sz w:val="22"/>
              </w:rPr>
              <w:t>+6.0%</w:t>
            </w:r>
          </w:p>
        </w:tc>
        <w:tc>
          <w:tcPr>
            <w:tcW w:type="dxa" w:w="1080"/>
          </w:tcPr>
          <w:p>
            <w:r>
              <w:rPr>
                <w:rFonts w:ascii="Calibri" w:hAnsi="Calibri"/>
                <w:sz w:val="22"/>
              </w:rPr>
              <w:t>Step-up from 387 (standalone)</w:t>
            </w:r>
          </w:p>
        </w:tc>
        <w:tc>
          <w:tcPr>
            <w:tcW w:type="dxa" w:w="1080"/>
          </w:tcPr>
          <w:p>
            <w:r>
              <w:rPr>
                <w:rFonts w:ascii="Calibri" w:hAnsi="Calibri"/>
                <w:sz w:val="22"/>
              </w:rPr>
              <w:t>N/A — combined guidance pending</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 Q2 2026 ($)</w:t>
            </w:r>
          </w:p>
        </w:tc>
        <w:tc>
          <w:tcPr>
            <w:tcW w:type="dxa" w:w="1080"/>
          </w:tcPr>
          <w:p>
            <w:r>
              <w:rPr>
                <w:rFonts w:ascii="Calibri" w:hAnsi="Calibri"/>
                <w:sz w:val="22"/>
              </w:rPr>
              <w:t>$1.48</w:t>
            </w:r>
          </w:p>
        </w:tc>
        <w:tc>
          <w:tcPr>
            <w:tcW w:type="dxa" w:w="1080"/>
          </w:tcPr>
          <w:p>
            <w:r>
              <w:rPr>
                <w:rFonts w:ascii="Calibri" w:hAnsi="Calibri"/>
                <w:sz w:val="22"/>
              </w:rPr>
              <w:t>$1.46</w:t>
            </w:r>
          </w:p>
        </w:tc>
        <w:tc>
          <w:tcPr>
            <w:tcW w:type="dxa" w:w="1080"/>
          </w:tcPr>
          <w:p>
            <w:r>
              <w:rPr>
                <w:rFonts w:ascii="Calibri" w:hAnsi="Calibri"/>
                <w:b/>
                <w:color w:val="E5484D"/>
                <w:sz w:val="22"/>
              </w:rPr>
              <w:t>-1.4%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Q2 2026 ($B)</w:t>
            </w:r>
          </w:p>
        </w:tc>
        <w:tc>
          <w:tcPr>
            <w:tcW w:type="dxa" w:w="1080"/>
          </w:tcPr>
          <w:p>
            <w:r>
              <w:rPr>
                <w:rFonts w:ascii="Calibri" w:hAnsi="Calibri"/>
                <w:sz w:val="22"/>
              </w:rPr>
              <w:t>$5.99</w:t>
            </w:r>
          </w:p>
        </w:tc>
        <w:tc>
          <w:tcPr>
            <w:tcW w:type="dxa" w:w="1080"/>
          </w:tcPr>
          <w:p>
            <w:r>
              <w:rPr>
                <w:rFonts w:ascii="Calibri" w:hAnsi="Calibri"/>
                <w:sz w:val="22"/>
              </w:rPr>
              <w:t>$6.50</w:t>
            </w:r>
          </w:p>
        </w:tc>
        <w:tc>
          <w:tcPr>
            <w:tcW w:type="dxa" w:w="1080"/>
          </w:tcPr>
          <w:p>
            <w:r>
              <w:rPr>
                <w:rFonts w:ascii="Calibri" w:hAnsi="Calibri"/>
                <w:b/>
                <w:color w:val="30A46C"/>
                <w:sz w:val="22"/>
              </w:rPr>
              <w:t>+8.5%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Free Cash Flow — Q2 2026 ($B)</w:t>
            </w:r>
          </w:p>
        </w:tc>
        <w:tc>
          <w:tcPr>
            <w:tcW w:type="dxa" w:w="1080"/>
          </w:tcPr>
          <w:p>
            <w:r>
              <w:rPr>
                <w:rFonts w:ascii="Calibri" w:hAnsi="Calibri"/>
                <w:sz w:val="22"/>
              </w:rPr>
              <w:t>$1.40</w:t>
            </w:r>
          </w:p>
        </w:tc>
        <w:tc>
          <w:tcPr>
            <w:tcW w:type="dxa" w:w="1080"/>
          </w:tcPr>
          <w:p>
            <w:r>
              <w:rPr>
                <w:rFonts w:ascii="Calibri" w:hAnsi="Calibri"/>
                <w:sz w:val="22"/>
              </w:rPr>
              <w:t>$1.35</w:t>
            </w:r>
          </w:p>
        </w:tc>
        <w:tc>
          <w:tcPr>
            <w:tcW w:type="dxa" w:w="1080"/>
          </w:tcPr>
          <w:p>
            <w:r>
              <w:rPr>
                <w:rFonts w:ascii="Calibri" w:hAnsi="Calibri"/>
                <w:b/>
                <w:color w:val="E5484D"/>
                <w:sz w:val="22"/>
              </w:rPr>
              <w:t>-3.6%</w:t>
            </w:r>
          </w:p>
        </w:tc>
        <w:tc>
          <w:tcPr>
            <w:tcW w:type="dxa" w:w="1080"/>
          </w:tcPr>
          <w:p>
            <w:r>
              <w:rPr>
                <w:rFonts w:ascii="Calibri" w:hAnsi="Calibri"/>
                <w:sz w:val="22"/>
              </w:rPr>
              <w:t>Strong FCF torque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EBITDAX — Operating — Q2 2026 ($B)</w:t>
            </w:r>
          </w:p>
        </w:tc>
        <w:tc>
          <w:tcPr>
            <w:tcW w:type="dxa" w:w="1080"/>
          </w:tcPr>
          <w:p>
            <w:r>
              <w:rPr>
                <w:rFonts w:ascii="Calibri" w:hAnsi="Calibri"/>
                <w:sz w:val="22"/>
              </w:rPr>
              <w:t>$2.88</w:t>
            </w:r>
          </w:p>
        </w:tc>
        <w:tc>
          <w:tcPr>
            <w:tcW w:type="dxa" w:w="1080"/>
          </w:tcPr>
          <w:p>
            <w:r>
              <w:rPr>
                <w:rFonts w:ascii="Calibri" w:hAnsi="Calibri"/>
                <w:sz w:val="22"/>
              </w:rPr>
              <w:t>$3.37</w:t>
            </w:r>
          </w:p>
        </w:tc>
        <w:tc>
          <w:tcPr>
            <w:tcW w:type="dxa" w:w="1080"/>
          </w:tcPr>
          <w:p>
            <w:r>
              <w:rPr>
                <w:rFonts w:ascii="Calibri" w:hAnsi="Calibri"/>
                <w:b/>
                <w:color w:val="30A46C"/>
                <w:sz w:val="22"/>
              </w:rPr>
              <w:t>+17.0%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Oil Production — FY 2026 (Mbpd)</w:t>
            </w:r>
          </w:p>
        </w:tc>
        <w:tc>
          <w:tcPr>
            <w:tcW w:type="dxa" w:w="1080"/>
          </w:tcPr>
          <w:p>
            <w:r>
              <w:rPr>
                <w:rFonts w:ascii="Calibri" w:hAnsi="Calibri"/>
                <w:sz w:val="22"/>
              </w:rPr>
              <w:t>483</w:t>
            </w:r>
          </w:p>
        </w:tc>
        <w:tc>
          <w:tcPr>
            <w:tcW w:type="dxa" w:w="1080"/>
          </w:tcPr>
          <w:p>
            <w:r>
              <w:rPr>
                <w:rFonts w:ascii="Calibri" w:hAnsi="Calibri"/>
                <w:sz w:val="22"/>
              </w:rPr>
              <w:t>498</w:t>
            </w:r>
          </w:p>
        </w:tc>
        <w:tc>
          <w:tcPr>
            <w:tcW w:type="dxa" w:w="1080"/>
          </w:tcPr>
          <w:p>
            <w:r>
              <w:rPr>
                <w:rFonts w:ascii="Calibri" w:hAnsi="Calibri"/>
                <w:b/>
                <w:color w:val="30A46C"/>
                <w:sz w:val="22"/>
              </w:rPr>
              <w:t>+3.0%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 FY 2026 ($)</w:t>
            </w:r>
          </w:p>
        </w:tc>
        <w:tc>
          <w:tcPr>
            <w:tcW w:type="dxa" w:w="1080"/>
          </w:tcPr>
          <w:p>
            <w:r>
              <w:rPr>
                <w:rFonts w:ascii="Calibri" w:hAnsi="Calibri"/>
                <w:sz w:val="22"/>
              </w:rPr>
              <w:t>$4.70</w:t>
            </w:r>
          </w:p>
        </w:tc>
        <w:tc>
          <w:tcPr>
            <w:tcW w:type="dxa" w:w="1080"/>
          </w:tcPr>
          <w:p>
            <w:r>
              <w:rPr>
                <w:rFonts w:ascii="Calibri" w:hAnsi="Calibri"/>
                <w:sz w:val="22"/>
              </w:rPr>
              <w:t>$4.86</w:t>
            </w:r>
          </w:p>
        </w:tc>
        <w:tc>
          <w:tcPr>
            <w:tcW w:type="dxa" w:w="1080"/>
          </w:tcPr>
          <w:p>
            <w:r>
              <w:rPr>
                <w:rFonts w:ascii="Calibri" w:hAnsi="Calibri"/>
                <w:b/>
                <w:color w:val="30A46C"/>
                <w:sz w:val="22"/>
              </w:rPr>
              <w:t>+3.4%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Free Cash Flow — FY 2026 ($B)</w:t>
            </w:r>
          </w:p>
        </w:tc>
        <w:tc>
          <w:tcPr>
            <w:tcW w:type="dxa" w:w="1080"/>
          </w:tcPr>
          <w:p>
            <w:r>
              <w:rPr>
                <w:rFonts w:ascii="Calibri" w:hAnsi="Calibri"/>
                <w:sz w:val="22"/>
              </w:rPr>
              <w:t>$6.37</w:t>
            </w:r>
          </w:p>
        </w:tc>
        <w:tc>
          <w:tcPr>
            <w:tcW w:type="dxa" w:w="1080"/>
          </w:tcPr>
          <w:p>
            <w:r>
              <w:rPr>
                <w:rFonts w:ascii="Calibri" w:hAnsi="Calibri"/>
                <w:sz w:val="22"/>
              </w:rPr>
              <w:t>$5.87</w:t>
            </w:r>
          </w:p>
        </w:tc>
        <w:tc>
          <w:tcPr>
            <w:tcW w:type="dxa" w:w="1080"/>
          </w:tcPr>
          <w:p>
            <w:r>
              <w:rPr>
                <w:rFonts w:ascii="Calibri" w:hAnsi="Calibri"/>
                <w:b/>
                <w:color w:val="E5484D"/>
                <w:sz w:val="22"/>
              </w:rPr>
              <w:t>-7.8%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The upward revision in EBITDAX (+17%) and revenue (+8.5%) for Q2 reflects Coterra’s contribution being better modeled over time. The slight downward revision in FCF (-3.6%) and EPS (-1.4%) may reflect higher combined capex and integration costs being incorporated. The formal combined FY 2026 guidance (promised mid-June) is the key missing piece — once issued, estimate dispersion should narrow significantly.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DVN has </w:t>
      </w:r>
      <w:r>
        <w:rPr>
          <w:rFonts w:ascii="Calibri" w:hAnsi="Calibri"/>
          <w:b/>
          <w:color w:val="525866"/>
          <w:sz w:val="22"/>
        </w:rPr>
        <w:t>underperformed XOP by ~13% and the S&amp;P 500 by ~21%</w:t>
      </w:r>
      <w:r>
        <w:rPr>
          <w:rFonts w:ascii="Calibri" w:hAnsi="Calibri"/>
          <w:color w:val="525866"/>
          <w:sz w:val="22"/>
        </w:rPr>
        <w:t xml:space="preserve"> since the Q1 earnings date (May 5, 2026), driven by </w:t>
      </w:r>
      <w:r>
        <w:rPr>
          <w:rFonts w:ascii="Calibri" w:hAnsi="Calibri"/>
          <w:b/>
          <w:color w:val="525866"/>
          <w:sz w:val="22"/>
        </w:rPr>
        <w:t>multiple compression rather than earnings deterioration</w:t>
      </w:r>
      <w:r>
        <w:rPr>
          <w:rFonts w:ascii="Calibri" w:hAnsi="Calibri"/>
          <w:color w:val="525866"/>
          <w:sz w:val="22"/>
        </w:rPr>
        <w:t xml:space="preserve"> — the stock has de-rated as the market awaits combined guidance clarity and portfolio review outcomes. The setup into Q2 is constructive given the stock’s discount to consensus price targets.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DVN vs XOP (E&amp;P ETF) vs S&amp;P 500 — Indexed to 100 at May 5, 2026 (Q1 2026 Earnings Date). Source: Stock Price Data.</w:t>
      </w:r>
    </w:p>
    <w:p>
      <w:r>
        <w:rPr>
          <w:rFonts w:ascii="Calibri" w:hAnsi="Calibri"/>
          <w:color w:val="525866"/>
          <w:sz w:val="22"/>
        </w:rPr>
        <w:t xml:space="preserve">DVN closed at $50.99 on May 5, 2026 (Q1 earnings day) and has since declined to ~$44.57 as of August 3, 2026, a </w:t>
      </w:r>
      <w:r>
        <w:rPr>
          <w:rFonts w:ascii="Calibri" w:hAnsi="Calibri"/>
          <w:b/>
          <w:color w:val="525866"/>
          <w:sz w:val="22"/>
        </w:rPr>
        <w:t>-12.6% move vs. XOP’s -3.5% and SPY’s +4.7%</w:t>
      </w:r>
      <w:r>
        <w:rPr>
          <w:rFonts w:ascii="Calibri" w:hAnsi="Calibri"/>
          <w:color w:val="525866"/>
          <w:sz w:val="22"/>
        </w:rPr>
        <w:t xml:space="preserve"> over the same period. The underperformance is notable given that Q1 operational results were solid — oil production at the top of guidance, capex 6% below midpoint, $816M FCF. The de-rating appears driven by: (1) merger integration uncertainty and the absence of formal combined guidance, (2) the stock’s dilution from the all-stock Coterra deal, and (3) broader E&amp;P sector pressure from oil price volatility. The Evercore ISI upgrade to Outperform on June 10 provided a brief lift but did not sustain. The setup into Q2 earnings is constructive — the stock is trading at a meaningful discount to the analyst consensus price target of ~$59.56, and any clarity on combined guidance or synergy acceleration could be a re-rating catalyst. Sector ETF used: XOP (SPDR S&amp;P Oil &amp; Gas Exploration &amp; Production ETF), which fits DVN’s E&amp;P sub-sector.</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Coterra merger close on May 7, 2026</w:t>
      </w:r>
      <w:r>
        <w:rPr>
          <w:rFonts w:ascii="Calibri" w:hAnsi="Calibri"/>
          <w:color w:val="525866"/>
          <w:sz w:val="22"/>
        </w:rPr>
        <w:t xml:space="preserve"> is the dominant development — it transforms DVN into a top-3 independent E&amp;P. The $2.95B debt exchange in June and the annual meeting shareholder vote are secondary but important for balance sheet and governance clarity heading into the first combined earnings.</w:t>
      </w:r>
    </w:p>
    <w:p>
      <w:pPr>
        <w:pStyle w:val="ListBullet"/>
        <w:ind w:left="360" w:hanging="360"/>
      </w:pPr>
      <w:r>
        <w:rPr>
          <w:rFonts w:ascii="Calibri" w:hAnsi="Calibri"/>
          <w:b/>
          <w:color w:val="525866"/>
          <w:sz w:val="22"/>
        </w:rPr>
        <w:t>May 7, 2026 — Coterra Merger Closed:</w:t>
      </w:r>
      <w:r>
        <w:rPr>
          <w:rFonts w:ascii="Calibri" w:hAnsi="Calibri"/>
          <w:color w:val="525866"/>
          <w:sz w:val="22"/>
        </w:rPr>
        <w:t xml:space="preserve"> Devon completed its all-stock merger with Coterra Energy, creating one of the largest US independent E&amp;P companies. Exchange ratio: 0.70 Devon shares per Coterra share. Board expanded to 11 members (6 Legacy Devon, 5 Legacy Coterra). Thomas Jorden appointed non-executive Chair; Shannon Young III appointed CFO. </w:t>
      </w:r>
      <w:r>
        <w:rPr>
          <w:rFonts w:ascii="Calibri" w:hAnsi="Calibri"/>
          <w:i/>
          <w:color w:val="525866"/>
          <w:sz w:val="22"/>
        </w:rPr>
        <w:t>Implication:</w:t>
      </w:r>
      <w:r>
        <w:rPr>
          <w:rFonts w:ascii="Calibri" w:hAnsi="Calibri"/>
          <w:color w:val="525866"/>
          <w:sz w:val="22"/>
        </w:rPr>
        <w:t xml:space="preserve"> First combined earnings report — all Q2 metrics will reflect the combined entity for the first time.</w:t>
      </w:r>
    </w:p>
    <w:p>
      <w:pPr>
        <w:pStyle w:val="ListBullet"/>
        <w:ind w:left="360" w:hanging="360"/>
      </w:pPr>
      <w:r>
        <w:rPr>
          <w:rFonts w:ascii="Calibri" w:hAnsi="Calibri"/>
          <w:b/>
          <w:color w:val="525866"/>
          <w:sz w:val="22"/>
        </w:rPr>
        <w:t>May 7, 2026 — Leadership Changes:</w:t>
      </w:r>
      <w:r>
        <w:rPr>
          <w:rFonts w:ascii="Calibri" w:hAnsi="Calibri"/>
          <w:color w:val="525866"/>
          <w:sz w:val="22"/>
        </w:rPr>
        <w:t xml:space="preserve"> Shannon E. Young III (former Coterra CFO) appointed EVP &amp; CFO, succeeding Jeffrey Ritenour (who moved to EVP &amp; Chief Corporate Development Officer). Gregory Conaway appointed VP &amp; Chief Accounting Officer. </w:t>
      </w:r>
      <w:r>
        <w:rPr>
          <w:rFonts w:ascii="Calibri" w:hAnsi="Calibri"/>
          <w:i/>
          <w:color w:val="525866"/>
          <w:sz w:val="22"/>
        </w:rPr>
        <w:t>Implication:</w:t>
      </w:r>
      <w:r>
        <w:rPr>
          <w:rFonts w:ascii="Calibri" w:hAnsi="Calibri"/>
          <w:color w:val="525866"/>
          <w:sz w:val="22"/>
        </w:rPr>
        <w:t xml:space="preserve"> New CFO on first combined earnings call — watch for tone and financial framework articulation.</w:t>
      </w:r>
    </w:p>
    <w:p>
      <w:pPr>
        <w:pStyle w:val="ListBullet"/>
        <w:ind w:left="360" w:hanging="360"/>
      </w:pPr>
      <w:r>
        <w:rPr>
          <w:rFonts w:ascii="Calibri" w:hAnsi="Calibri"/>
          <w:b/>
          <w:color w:val="525866"/>
          <w:sz w:val="22"/>
        </w:rPr>
        <w:t>June 25, 2026 — $2.95B Debt Exchange Completed:</w:t>
      </w:r>
      <w:r>
        <w:rPr>
          <w:rFonts w:ascii="Calibri" w:hAnsi="Calibri"/>
          <w:color w:val="525866"/>
          <w:sz w:val="22"/>
        </w:rPr>
        <w:t xml:space="preserve"> Devon completed a private exchange of Coterra legacy notes for new Devon notes across 5 tranches (3.90% due 2027, 4.375% due 2029, 5.60% due 2034, 5.40% due 2035, 5.90% due 2055). ~$2.95B of Coterra notes exchanged; small residual amounts remain outstanding. </w:t>
      </w:r>
      <w:r>
        <w:rPr>
          <w:rFonts w:ascii="Calibri" w:hAnsi="Calibri"/>
          <w:i/>
          <w:color w:val="525866"/>
          <w:sz w:val="22"/>
        </w:rPr>
        <w:t>Implication:</w:t>
      </w:r>
      <w:r>
        <w:rPr>
          <w:rFonts w:ascii="Calibri" w:hAnsi="Calibri"/>
          <w:color w:val="525866"/>
          <w:sz w:val="22"/>
        </w:rPr>
        <w:t xml:space="preserve"> Balance sheet integration progressing; reduces legacy Coterra debt overhang and simplifies capital structure.</w:t>
      </w:r>
    </w:p>
    <w:p>
      <w:pPr>
        <w:pStyle w:val="ListBullet"/>
        <w:ind w:left="360" w:hanging="360"/>
      </w:pPr>
      <w:r>
        <w:rPr>
          <w:rFonts w:ascii="Calibri" w:hAnsi="Calibri"/>
          <w:b/>
          <w:color w:val="525866"/>
          <w:sz w:val="22"/>
        </w:rPr>
        <w:t>June 30, 2026 — Annual Meeting:</w:t>
      </w:r>
      <w:r>
        <w:rPr>
          <w:rFonts w:ascii="Calibri" w:hAnsi="Calibri"/>
          <w:color w:val="525866"/>
          <w:sz w:val="22"/>
        </w:rPr>
        <w:t xml:space="preserve"> Shareholders backed the board, auditor, and executive pay. </w:t>
      </w:r>
      <w:r>
        <w:rPr>
          <w:rFonts w:ascii="Calibri" w:hAnsi="Calibri"/>
          <w:i/>
          <w:color w:val="525866"/>
          <w:sz w:val="22"/>
        </w:rPr>
        <w:t>Implication:</w:t>
      </w:r>
      <w:r>
        <w:rPr>
          <w:rFonts w:ascii="Calibri" w:hAnsi="Calibri"/>
          <w:color w:val="525866"/>
          <w:sz w:val="22"/>
        </w:rPr>
        <w:t xml:space="preserve"> No governance friction heading into the combined entity’s first earnings.</w:t>
      </w:r>
    </w:p>
    <w:p>
      <w:pPr>
        <w:pStyle w:val="ListBullet"/>
        <w:ind w:left="360" w:hanging="360"/>
      </w:pPr>
      <w:r>
        <w:rPr>
          <w:rFonts w:ascii="Calibri" w:hAnsi="Calibri"/>
          <w:b/>
          <w:color w:val="525866"/>
          <w:sz w:val="22"/>
        </w:rPr>
        <w:t>June 10, 2026 — Evercore ISI Upgrade to Outperform:</w:t>
      </w:r>
      <w:r>
        <w:rPr>
          <w:rFonts w:ascii="Calibri" w:hAnsi="Calibri"/>
          <w:color w:val="525866"/>
          <w:sz w:val="22"/>
        </w:rPr>
        <w:t xml:space="preserve"> Upgraded from In Line to Outperform. </w:t>
      </w:r>
      <w:r>
        <w:rPr>
          <w:rFonts w:ascii="Calibri" w:hAnsi="Calibri"/>
          <w:i/>
          <w:color w:val="525866"/>
          <w:sz w:val="22"/>
        </w:rPr>
        <w:t>Implication:</w:t>
      </w:r>
      <w:r>
        <w:rPr>
          <w:rFonts w:ascii="Calibri" w:hAnsi="Calibri"/>
          <w:color w:val="525866"/>
          <w:sz w:val="22"/>
        </w:rPr>
        <w:t xml:space="preserve"> Positive sell-side signal; stock briefly rallied but has since given back gains.</w:t>
      </w:r>
    </w:p>
    <w:p>
      <w:pPr>
        <w:pStyle w:val="ListBullet"/>
        <w:ind w:left="360" w:hanging="360"/>
      </w:pPr>
      <w:r>
        <w:rPr>
          <w:rFonts w:ascii="Calibri" w:hAnsi="Calibri"/>
          <w:b/>
          <w:color w:val="525866"/>
          <w:sz w:val="22"/>
        </w:rPr>
        <w:t>July 15, 2026 — UBS Price Target Cut:</w:t>
      </w:r>
      <w:r>
        <w:rPr>
          <w:rFonts w:ascii="Calibri" w:hAnsi="Calibri"/>
          <w:color w:val="525866"/>
          <w:sz w:val="22"/>
        </w:rPr>
        <w:t xml:space="preserve"> UBS reduced price target from $58 to $54 while maintaining Buy rating. </w:t>
      </w:r>
      <w:r>
        <w:rPr>
          <w:rFonts w:ascii="Calibri" w:hAnsi="Calibri"/>
          <w:i/>
          <w:color w:val="525866"/>
          <w:sz w:val="22"/>
        </w:rPr>
        <w:t>Implication:</w:t>
      </w:r>
      <w:r>
        <w:rPr>
          <w:rFonts w:ascii="Calibri" w:hAnsi="Calibri"/>
          <w:color w:val="525866"/>
          <w:sz w:val="22"/>
        </w:rPr>
        <w:t xml:space="preserve"> Modest negative revision but still constructive; reflects commodity price uncertainty.</w:t>
      </w:r>
    </w:p>
    <w:p>
      <w:pPr>
        <w:pStyle w:val="ListBullet"/>
        <w:ind w:left="360" w:hanging="360"/>
      </w:pPr>
      <w:r>
        <w:rPr>
          <w:rFonts w:ascii="Calibri" w:hAnsi="Calibri"/>
          <w:b/>
          <w:color w:val="525866"/>
          <w:sz w:val="22"/>
        </w:rPr>
        <w:t>May 14, 2026 — Fervo Energy IPO Filing:</w:t>
      </w:r>
      <w:r>
        <w:rPr>
          <w:rFonts w:ascii="Calibri" w:hAnsi="Calibri"/>
          <w:color w:val="525866"/>
          <w:sz w:val="22"/>
        </w:rPr>
        <w:t xml:space="preserve"> Fervo Energy (Devon investment) filed S-1 for Nasdaq listing (FRVO). </w:t>
      </w:r>
      <w:r>
        <w:rPr>
          <w:rFonts w:ascii="Calibri" w:hAnsi="Calibri"/>
          <w:i/>
          <w:color w:val="525866"/>
          <w:sz w:val="22"/>
        </w:rPr>
        <w:t>Implication:</w:t>
      </w:r>
      <w:r>
        <w:rPr>
          <w:rFonts w:ascii="Calibri" w:hAnsi="Calibri"/>
          <w:color w:val="525866"/>
          <w:sz w:val="22"/>
        </w:rPr>
        <w:t xml:space="preserve"> Provides public valuation marker for Devon’s geothermal investment; potential non-core asset monetization optionality.</w:t>
      </w:r>
    </w:p>
    <w:p>
      <w:pPr>
        <w:pStyle w:val="ListBullet"/>
        <w:ind w:left="360" w:hanging="360"/>
      </w:pPr>
      <w:r>
        <w:rPr>
          <w:rFonts w:ascii="Calibri" w:hAnsi="Calibri"/>
          <w:b/>
          <w:color w:val="525866"/>
          <w:sz w:val="22"/>
        </w:rPr>
        <w:t>June 16, 2026 — CEO Fireside Chat at J.P. Morgan Energy Conference:</w:t>
      </w:r>
      <w:r>
        <w:rPr>
          <w:rFonts w:ascii="Calibri" w:hAnsi="Calibri"/>
          <w:color w:val="525866"/>
          <w:sz w:val="22"/>
        </w:rPr>
        <w:t xml:space="preserve"> CEO Clay Gaspar participated in fireside chat. </w:t>
      </w:r>
      <w:r>
        <w:rPr>
          <w:rFonts w:ascii="Calibri" w:hAnsi="Calibri"/>
          <w:i/>
          <w:color w:val="525866"/>
          <w:sz w:val="22"/>
        </w:rPr>
        <w:t>Implication:</w:t>
      </w:r>
      <w:r>
        <w:rPr>
          <w:rFonts w:ascii="Calibri" w:hAnsi="Calibri"/>
          <w:color w:val="525866"/>
          <w:sz w:val="22"/>
        </w:rPr>
        <w:t xml:space="preserve"> Management engagement with investors post-merger; watch for any color on combined guidance or portfolio review.</w:t>
      </w:r>
    </w:p>
    <w:p>
      <w:r>
        <w:br w:type="page"/>
      </w:r>
    </w:p>
    <w:p>
      <w:pPr>
        <w:pStyle w:val="Heading2"/>
      </w:pPr>
      <w:r>
        <w:rPr>
          <w:rFonts w:ascii="Calibri" w:hAnsi="Calibri"/>
          <w:b/>
          <w:color w:val="3B4259"/>
          <w:sz w:val="28"/>
        </w:rPr>
        <w:t>7. Peer Commentaries — Read-Throughs for Q2 2026</w:t>
      </w:r>
    </w:p>
    <w:p>
      <w:r>
        <w:rPr>
          <w:rFonts w:ascii="Calibri" w:hAnsi="Calibri"/>
          <w:b/>
          <w:color w:val="525866"/>
          <w:sz w:val="22"/>
        </w:rPr>
        <w:t xml:space="preserve">Key Takeaway: </w:t>
      </w:r>
      <w:r>
        <w:rPr>
          <w:rFonts w:ascii="Calibri" w:hAnsi="Calibri"/>
          <w:color w:val="525866"/>
          <w:sz w:val="22"/>
        </w:rPr>
        <w:t xml:space="preserve">Peers reporting Q2 2026 results (OVV, EXE) and Q1 2026 commentary (EOG, OXY) point to a </w:t>
      </w:r>
      <w:r>
        <w:rPr>
          <w:rFonts w:ascii="Calibri" w:hAnsi="Calibri"/>
          <w:b/>
          <w:color w:val="525866"/>
          <w:sz w:val="22"/>
        </w:rPr>
        <w:t>constructive Permian/Delaware Basin operating environment</w:t>
      </w:r>
      <w:r>
        <w:rPr>
          <w:rFonts w:ascii="Calibri" w:hAnsi="Calibri"/>
          <w:color w:val="525866"/>
          <w:sz w:val="22"/>
        </w:rPr>
        <w:t xml:space="preserve"> — strong well productivity, capital efficiency gains, and manageable cost inflation — which is directionally positive for DVN’s first combined print.</w:t>
      </w:r>
    </w:p>
    <w:p>
      <w:r>
        <w:rPr>
          <w:rFonts w:ascii="Calibri" w:hAnsi="Calibri"/>
          <w:b/>
          <w:color w:val="525866"/>
          <w:sz w:val="22"/>
        </w:rPr>
        <w:t xml:space="preserve">Note: </w:t>
      </w:r>
      <w:r>
        <w:rPr>
          <w:rFonts w:ascii="Calibri" w:hAnsi="Calibri"/>
          <w:i/>
          <w:color w:val="525866"/>
          <w:sz w:val="22"/>
        </w:rPr>
        <w:t>All peer commentary below is sourced from Q2 2026 earnings calls (OVV, EXE) or Q1 2026 earnings calls and post-Q1 conference appearances (EOG, OXY) — all occurring after DVN’s Q1 2026 earnings on May 5–6, 2026. No prior-quarter retrospective commentary is included.</w:t>
      </w:r>
    </w:p>
    <w:p>
      <w:pPr>
        <w:pStyle w:val="Heading3"/>
      </w:pPr>
      <w:r>
        <w:rPr>
          <w:rFonts w:ascii="Calibri" w:hAnsi="Calibri"/>
          <w:b/>
          <w:color w:val="3B4259"/>
          <w:sz w:val="24"/>
        </w:rPr>
        <w:t>Ovintiv (OVV) — Q2 2026 Earnings (July 24, 2026)</w:t>
      </w:r>
      <w:r>
        <w:rPr>
          <w:rFonts w:ascii="Calibri" w:hAnsi="Calibri"/>
          <w:b/>
          <w:color w:val="3B4259"/>
          <w:sz w:val="24"/>
        </w:rPr>
        <w:t xml:space="preserve"> — MOST RELEVANT (Direct Permian/Delaware Basin Peer)</w:t>
      </w:r>
    </w:p>
    <w:p>
      <w:pPr>
        <w:pStyle w:val="ListBullet"/>
        <w:ind w:left="360" w:hanging="360"/>
      </w:pPr>
      <w:r>
        <w:rPr>
          <w:rFonts w:ascii="Calibri" w:hAnsi="Calibri"/>
          <w:b/>
          <w:color w:val="525866"/>
          <w:sz w:val="22"/>
        </w:rPr>
        <w:t>Permian well productivity beat guidance:</w:t>
      </w:r>
      <w:r>
        <w:rPr>
          <w:rFonts w:ascii="Calibri" w:hAnsi="Calibri"/>
          <w:color w:val="525866"/>
          <w:sz w:val="22"/>
        </w:rPr>
        <w:t xml:space="preserve"> OVV Q2 oil and condensate volumes of 127 Mbpd beat the high end of guidance, driven by ‘strong new well results and outperformance from base production.’ OVV raised its Permian go-forward run rate to 125 Mbpd with no additional capital. </w:t>
      </w:r>
      <w:r>
        <w:rPr>
          <w:rFonts w:ascii="Calibri" w:hAnsi="Calibri"/>
          <w:i/>
          <w:color w:val="525866"/>
          <w:sz w:val="22"/>
        </w:rPr>
        <w:t>Positive read-through:</w:t>
      </w:r>
      <w:r>
        <w:rPr>
          <w:rFonts w:ascii="Calibri" w:hAnsi="Calibri"/>
          <w:color w:val="525866"/>
          <w:sz w:val="22"/>
        </w:rPr>
        <w:t xml:space="preserve"> Delaware Basin well productivity likely strong for DVN’s combined entity.</w:t>
      </w:r>
    </w:p>
    <w:p>
      <w:pPr>
        <w:pStyle w:val="ListBullet"/>
        <w:ind w:left="360" w:hanging="360"/>
      </w:pPr>
      <w:r>
        <w:rPr>
          <w:rFonts w:ascii="Calibri" w:hAnsi="Calibri"/>
          <w:b/>
          <w:color w:val="525866"/>
          <w:sz w:val="22"/>
        </w:rPr>
        <w:t>Capital efficiency improving; no significant cost inflation:</w:t>
      </w:r>
      <w:r>
        <w:rPr>
          <w:rFonts w:ascii="Calibri" w:hAnsi="Calibri"/>
          <w:color w:val="525866"/>
          <w:sz w:val="22"/>
        </w:rPr>
        <w:t xml:space="preserve"> OVV cited ‘industry leading capital efficiency’ from faster cycle times and innovations like wet sand. ‘Not currently seeing significant inflationary pressure on our 2026 capital program’ outside of higher diesel costs, which are being offset by operational efficiencies. Full-year capital guidance unchanged. </w:t>
      </w:r>
      <w:r>
        <w:rPr>
          <w:rFonts w:ascii="Calibri" w:hAnsi="Calibri"/>
          <w:i/>
          <w:color w:val="525866"/>
          <w:sz w:val="22"/>
        </w:rPr>
        <w:t>Positive read-through:</w:t>
      </w:r>
      <w:r>
        <w:rPr>
          <w:rFonts w:ascii="Calibri" w:hAnsi="Calibri"/>
          <w:color w:val="525866"/>
          <w:sz w:val="22"/>
        </w:rPr>
        <w:t xml:space="preserve"> DVN’s capex discipline likely intact.</w:t>
      </w:r>
    </w:p>
    <w:p>
      <w:pPr>
        <w:pStyle w:val="ListBullet"/>
        <w:ind w:left="360" w:hanging="360"/>
      </w:pPr>
      <w:r>
        <w:rPr>
          <w:rFonts w:ascii="Calibri" w:hAnsi="Calibri"/>
          <w:b/>
          <w:color w:val="525866"/>
          <w:sz w:val="22"/>
        </w:rPr>
        <w:t>Permian gas realizations — Waha avoidance:</w:t>
      </w:r>
      <w:r>
        <w:rPr>
          <w:rFonts w:ascii="Calibri" w:hAnsi="Calibri"/>
          <w:color w:val="525866"/>
          <w:sz w:val="22"/>
        </w:rPr>
        <w:t xml:space="preserve"> OVV noted ‘relatively strong Houston Ship Channel pricing’ with ‘less than half of our volumes selling into Waha,’ avoiding ‘deeply negative price realizations experienced by some of our peers.’ </w:t>
      </w:r>
      <w:r>
        <w:rPr>
          <w:rFonts w:ascii="Calibri" w:hAnsi="Calibri"/>
          <w:i/>
          <w:color w:val="525866"/>
          <w:sz w:val="22"/>
        </w:rPr>
        <w:t>Read-through:</w:t>
      </w:r>
      <w:r>
        <w:rPr>
          <w:rFonts w:ascii="Calibri" w:hAnsi="Calibri"/>
          <w:color w:val="525866"/>
          <w:sz w:val="22"/>
        </w:rPr>
        <w:t xml:space="preserve"> DVN has been actively managing Waha exposure by curtailing high-GOR wells — this commentary suggests DVN’s gas realization management is on the right track.</w:t>
      </w:r>
    </w:p>
    <w:p>
      <w:pPr>
        <w:pStyle w:val="ListBullet"/>
        <w:ind w:left="360" w:hanging="360"/>
      </w:pPr>
      <w:r>
        <w:rPr>
          <w:rFonts w:ascii="Calibri" w:hAnsi="Calibri"/>
          <w:b/>
          <w:color w:val="525866"/>
          <w:sz w:val="22"/>
        </w:rPr>
        <w:t>AI and automation driving base production outperformance:</w:t>
      </w:r>
      <w:r>
        <w:rPr>
          <w:rFonts w:ascii="Calibri" w:hAnsi="Calibri"/>
          <w:color w:val="525866"/>
          <w:sz w:val="22"/>
        </w:rPr>
        <w:t xml:space="preserve"> OVV’s Permian Operations Control Center using ‘AI and automation to optimize artificial lift parameters, reduce downtime, and flatten well declines’ drove a ‘3% improvement from original plan’ on base production. </w:t>
      </w:r>
      <w:r>
        <w:rPr>
          <w:rFonts w:ascii="Calibri" w:hAnsi="Calibri"/>
          <w:i/>
          <w:color w:val="525866"/>
          <w:sz w:val="22"/>
        </w:rPr>
        <w:t>Direct read-through:</w:t>
      </w:r>
      <w:r>
        <w:rPr>
          <w:rFonts w:ascii="Calibri" w:hAnsi="Calibri"/>
          <w:color w:val="525866"/>
          <w:sz w:val="22"/>
        </w:rPr>
        <w:t xml:space="preserve"> Validates DVN’s autonomous artificial lift program (850+ wells deployed).</w:t>
      </w:r>
    </w:p>
    <w:p>
      <w:pPr>
        <w:pStyle w:val="ListBullet"/>
        <w:ind w:left="360" w:hanging="360"/>
      </w:pPr>
      <w:r>
        <w:rPr>
          <w:rFonts w:ascii="Calibri" w:hAnsi="Calibri"/>
          <w:b/>
          <w:color w:val="525866"/>
          <w:sz w:val="22"/>
        </w:rPr>
        <w:t>Surfactant use driving ~9% oil productivity improvement at $100K/well:</w:t>
      </w:r>
      <w:r>
        <w:rPr>
          <w:rFonts w:ascii="Calibri" w:hAnsi="Calibri"/>
          <w:color w:val="525866"/>
          <w:sz w:val="22"/>
        </w:rPr>
        <w:t xml:space="preserve"> OVV has completed ~400 Permian wells with surfactants since 2019. DVN has referenced similar technology; OVV’s results validate the approach.</w:t>
      </w:r>
    </w:p>
    <w:p>
      <w:pPr>
        <w:pStyle w:val="ListBullet"/>
        <w:ind w:left="360" w:hanging="360"/>
      </w:pPr>
      <w:r>
        <w:rPr>
          <w:rFonts w:ascii="Calibri" w:hAnsi="Calibri"/>
          <w:b/>
          <w:color w:val="525866"/>
          <w:sz w:val="22"/>
        </w:rPr>
        <w:t>Full-year oil production guidance raised with no additional capital:</w:t>
      </w:r>
      <w:r>
        <w:rPr>
          <w:rFonts w:ascii="Calibri" w:hAnsi="Calibri"/>
          <w:color w:val="525866"/>
          <w:sz w:val="22"/>
        </w:rPr>
        <w:t xml:space="preserve"> OVV raised full-year oil and condensate guidance to 210–212 Mbpd, equating to ‘4% growth on a per share basis with no additional capital.’ </w:t>
      </w:r>
      <w:r>
        <w:rPr>
          <w:rFonts w:ascii="Calibri" w:hAnsi="Calibri"/>
          <w:i/>
          <w:color w:val="525866"/>
          <w:sz w:val="22"/>
        </w:rPr>
        <w:t>Positive sector signal:</w:t>
      </w:r>
      <w:r>
        <w:rPr>
          <w:rFonts w:ascii="Calibri" w:hAnsi="Calibri"/>
          <w:color w:val="525866"/>
          <w:sz w:val="22"/>
        </w:rPr>
        <w:t xml:space="preserve"> Capital-efficient operators like DVN are delivering volume growth without spending more.</w:t>
      </w:r>
    </w:p>
    <w:p>
      <w:pPr>
        <w:pStyle w:val="Heading3"/>
      </w:pPr>
      <w:r>
        <w:rPr>
          <w:rFonts w:ascii="Calibri" w:hAnsi="Calibri"/>
          <w:b/>
          <w:color w:val="3B4259"/>
          <w:sz w:val="24"/>
        </w:rPr>
        <w:t>Expand Energy (EXE) — Q2 2026 Earnings (July 29, 2026)</w:t>
      </w:r>
      <w:r>
        <w:rPr>
          <w:rFonts w:ascii="Calibri" w:hAnsi="Calibri"/>
          <w:b/>
          <w:color w:val="3B4259"/>
          <w:sz w:val="24"/>
        </w:rPr>
        <w:t xml:space="preserve"> — MODERATE RELEVANCE (Gas-Focused; Permian Gas Read-Through)</w:t>
      </w:r>
    </w:p>
    <w:p>
      <w:pPr>
        <w:pStyle w:val="ListBullet"/>
        <w:ind w:left="360" w:hanging="360"/>
      </w:pPr>
      <w:r>
        <w:rPr>
          <w:rFonts w:ascii="Calibri" w:hAnsi="Calibri"/>
          <w:b/>
          <w:color w:val="525866"/>
          <w:sz w:val="22"/>
        </w:rPr>
        <w:t>Natural gas market ‘modestly oversupplied’:</w:t>
      </w:r>
      <w:r>
        <w:rPr>
          <w:rFonts w:ascii="Calibri" w:hAnsi="Calibri"/>
          <w:color w:val="525866"/>
          <w:sz w:val="22"/>
        </w:rPr>
        <w:t xml:space="preserve"> ~3.5 Bcf/d of additional Permian egress expected by year-end keeping markets oversupplied ‘through at least probably the first half of 2027.’ Structural tightening expected in H2 2027 with 5.5–6 Bcf/d of new demand. </w:t>
      </w:r>
      <w:r>
        <w:rPr>
          <w:rFonts w:ascii="Calibri" w:hAnsi="Calibri"/>
          <w:i/>
          <w:color w:val="525866"/>
          <w:sz w:val="22"/>
        </w:rPr>
        <w:t>Relevant for DVN:</w:t>
      </w:r>
      <w:r>
        <w:rPr>
          <w:rFonts w:ascii="Calibri" w:hAnsi="Calibri"/>
          <w:color w:val="525866"/>
          <w:sz w:val="22"/>
        </w:rPr>
        <w:t xml:space="preserve"> Confirms near-term Waha headwinds but improving structural outlook once Blackcomb comes online later in 2026.</w:t>
      </w:r>
    </w:p>
    <w:p>
      <w:pPr>
        <w:pStyle w:val="ListBullet"/>
        <w:ind w:left="360" w:hanging="360"/>
      </w:pPr>
      <w:r>
        <w:rPr>
          <w:rFonts w:ascii="Calibri" w:hAnsi="Calibri"/>
          <w:b/>
          <w:color w:val="525866"/>
          <w:sz w:val="22"/>
        </w:rPr>
        <w:t>Cost inflation modest but present:</w:t>
      </w:r>
      <w:r>
        <w:rPr>
          <w:rFonts w:ascii="Calibri" w:hAnsi="Calibri"/>
          <w:color w:val="525866"/>
          <w:sz w:val="22"/>
        </w:rPr>
        <w:t xml:space="preserve"> ‘Element of realized inflation in the second quarter’ primarily from higher fuel/diesel costs. Maintenance CapEx ‘still sitting around 2.8 level.’ </w:t>
      </w:r>
      <w:r>
        <w:rPr>
          <w:rFonts w:ascii="Calibri" w:hAnsi="Calibri"/>
          <w:i/>
          <w:color w:val="525866"/>
          <w:sz w:val="22"/>
        </w:rPr>
        <w:t>Modest read-through:</w:t>
      </w:r>
      <w:r>
        <w:rPr>
          <w:rFonts w:ascii="Calibri" w:hAnsi="Calibri"/>
          <w:color w:val="525866"/>
          <w:sz w:val="22"/>
        </w:rPr>
        <w:t xml:space="preserve"> DVN’s LOE and capex may face similar diesel-driven headwinds.</w:t>
      </w:r>
    </w:p>
    <w:p>
      <w:pPr>
        <w:pStyle w:val="ListBullet"/>
        <w:ind w:left="360" w:hanging="360"/>
      </w:pPr>
      <w:r>
        <w:rPr>
          <w:rFonts w:ascii="Calibri" w:hAnsi="Calibri"/>
          <w:b/>
          <w:color w:val="525866"/>
          <w:sz w:val="22"/>
        </w:rPr>
        <w:t>Capital discipline maintained:</w:t>
      </w:r>
      <w:r>
        <w:rPr>
          <w:rFonts w:ascii="Calibri" w:hAnsi="Calibri"/>
          <w:color w:val="525866"/>
          <w:sz w:val="22"/>
        </w:rPr>
        <w:t xml:space="preserve"> EXE expects capital to ‘tail off as we go through the second half of the year.’ Sector-wide signal of disciplined spending heading into H2 2026.</w:t>
      </w:r>
    </w:p>
    <w:p>
      <w:pPr>
        <w:pStyle w:val="Heading3"/>
      </w:pPr>
      <w:r>
        <w:rPr>
          <w:rFonts w:ascii="Calibri" w:hAnsi="Calibri"/>
          <w:b/>
          <w:color w:val="3B4259"/>
          <w:sz w:val="24"/>
        </w:rPr>
        <w:t>EOG Resources (EOG) — Q1 2026 Earnings (May 6, 2026) + J.P. Morgan Conference (June 23, 2026)</w:t>
      </w:r>
      <w:r>
        <w:rPr>
          <w:rFonts w:ascii="Calibri" w:hAnsi="Calibri"/>
          <w:b/>
          <w:color w:val="3B4259"/>
          <w:sz w:val="24"/>
        </w:rPr>
        <w:t xml:space="preserve"> — HIGH RELEVANCE (Premier Delaware Basin Operator)</w:t>
      </w:r>
    </w:p>
    <w:p>
      <w:pPr>
        <w:pStyle w:val="ListBullet"/>
        <w:ind w:left="360" w:hanging="360"/>
      </w:pPr>
      <w:r>
        <w:rPr>
          <w:rFonts w:ascii="Calibri" w:hAnsi="Calibri"/>
          <w:b/>
          <w:color w:val="525866"/>
          <w:sz w:val="22"/>
        </w:rPr>
        <w:t>Delaware Basin productivity stable and improving:</w:t>
      </w:r>
      <w:r>
        <w:rPr>
          <w:rFonts w:ascii="Calibri" w:hAnsi="Calibri"/>
          <w:color w:val="525866"/>
          <w:sz w:val="22"/>
        </w:rPr>
        <w:t xml:space="preserve"> EOG reported productivity ‘consistent, if not actually just a little bit better’ in 2026 vs. 2025. ‘Overall productivity, very, very, very stable.’ Completions teams achieved a 17% increase in completed feet per day in the Delaware Basin in Q1 2026. </w:t>
      </w:r>
      <w:r>
        <w:rPr>
          <w:rFonts w:ascii="Calibri" w:hAnsi="Calibri"/>
          <w:i/>
          <w:color w:val="525866"/>
          <w:sz w:val="22"/>
        </w:rPr>
        <w:t>Strong positive read-through:</w:t>
      </w:r>
      <w:r>
        <w:rPr>
          <w:rFonts w:ascii="Calibri" w:hAnsi="Calibri"/>
          <w:color w:val="525866"/>
          <w:sz w:val="22"/>
        </w:rPr>
        <w:t xml:space="preserve"> DVN’s Delaware Basin operations likely benefiting from the same basin-wide productivity trends.</w:t>
      </w:r>
    </w:p>
    <w:p>
      <w:pPr>
        <w:pStyle w:val="ListBullet"/>
        <w:ind w:left="360" w:hanging="360"/>
      </w:pPr>
      <w:r>
        <w:rPr>
          <w:rFonts w:ascii="Calibri" w:hAnsi="Calibri"/>
          <w:b/>
          <w:color w:val="525866"/>
          <w:sz w:val="22"/>
        </w:rPr>
        <w:t>WTI price floor ~$60; average $80 expected over next few years:</w:t>
      </w:r>
      <w:r>
        <w:rPr>
          <w:rFonts w:ascii="Calibri" w:hAnsi="Calibri"/>
          <w:color w:val="525866"/>
          <w:sz w:val="22"/>
        </w:rPr>
        <w:t xml:space="preserve"> EOG sees ‘probably a floor on WTI of about $60’ supported by SPR refilling demand, with ‘high end average of around $80’ expected over the next couple of years. </w:t>
      </w:r>
      <w:r>
        <w:rPr>
          <w:rFonts w:ascii="Calibri" w:hAnsi="Calibri"/>
          <w:i/>
          <w:color w:val="525866"/>
          <w:sz w:val="22"/>
        </w:rPr>
        <w:t>Constructive macro backdrop:</w:t>
      </w:r>
      <w:r>
        <w:rPr>
          <w:rFonts w:ascii="Calibri" w:hAnsi="Calibri"/>
          <w:color w:val="525866"/>
          <w:sz w:val="22"/>
        </w:rPr>
        <w:t xml:space="preserve"> Supports DVN’s oil-weighted combined portfolio FCF generation.</w:t>
      </w:r>
    </w:p>
    <w:p>
      <w:pPr>
        <w:pStyle w:val="ListBullet"/>
        <w:ind w:left="360" w:hanging="360"/>
      </w:pPr>
      <w:r>
        <w:rPr>
          <w:rFonts w:ascii="Calibri" w:hAnsi="Calibri"/>
          <w:b/>
          <w:color w:val="525866"/>
          <w:sz w:val="22"/>
        </w:rPr>
        <w:t>Capital efficiency: 7% well cost reduction, 4% operating cost reduction:</w:t>
      </w:r>
      <w:r>
        <w:rPr>
          <w:rFonts w:ascii="Calibri" w:hAnsi="Calibri"/>
          <w:color w:val="525866"/>
          <w:sz w:val="22"/>
        </w:rPr>
        <w:t xml:space="preserve"> EOG reduced average well cost by 7% and operating costs by 4% in the past year. No significant inflation in services or cost increases for high-quality rigs or frac spreads. ~70% of drilling rigs can run on natural gas, insulating from diesel cost inflation. </w:t>
      </w:r>
      <w:r>
        <w:rPr>
          <w:rFonts w:ascii="Calibri" w:hAnsi="Calibri"/>
          <w:i/>
          <w:color w:val="525866"/>
          <w:sz w:val="22"/>
        </w:rPr>
        <w:t>Positive read-through:</w:t>
      </w:r>
      <w:r>
        <w:rPr>
          <w:rFonts w:ascii="Calibri" w:hAnsi="Calibri"/>
          <w:color w:val="525866"/>
          <w:sz w:val="22"/>
        </w:rPr>
        <w:t xml:space="preserve"> DVN’s cost structure likely benefiting from similar basin-wide efficiency trends.</w:t>
      </w:r>
    </w:p>
    <w:p>
      <w:pPr>
        <w:pStyle w:val="ListBullet"/>
        <w:ind w:left="360" w:hanging="360"/>
      </w:pPr>
      <w:r>
        <w:rPr>
          <w:rFonts w:ascii="Calibri" w:hAnsi="Calibri"/>
          <w:b/>
          <w:color w:val="525866"/>
          <w:sz w:val="22"/>
        </w:rPr>
        <w:t>Waha turning positive Sept/Oct 2026:</w:t>
      </w:r>
      <w:r>
        <w:rPr>
          <w:rFonts w:ascii="Calibri" w:hAnsi="Calibri"/>
          <w:color w:val="525866"/>
          <w:sz w:val="22"/>
        </w:rPr>
        <w:t xml:space="preserve"> EOG has ‘less than 7%, normally less than 5% of volumes to Waha’ and expects Waha to ‘probably turn positive kind of come September, October time frame’ as ~5–6 Bcf of new egress comes online. </w:t>
      </w:r>
      <w:r>
        <w:rPr>
          <w:rFonts w:ascii="Calibri" w:hAnsi="Calibri"/>
          <w:i/>
          <w:color w:val="525866"/>
          <w:sz w:val="22"/>
        </w:rPr>
        <w:t>Confirms DVN’s Blackcomb pipeline timing thesis:</w:t>
      </w:r>
      <w:r>
        <w:rPr>
          <w:rFonts w:ascii="Calibri" w:hAnsi="Calibri"/>
          <w:color w:val="525866"/>
          <w:sz w:val="22"/>
        </w:rPr>
        <w:t xml:space="preserve"> Structural gas takeaway improvement is on track.</w:t>
      </w:r>
    </w:p>
    <w:p>
      <w:pPr>
        <w:pStyle w:val="ListBullet"/>
        <w:ind w:left="360" w:hanging="360"/>
      </w:pPr>
      <w:r>
        <w:rPr>
          <w:rFonts w:ascii="Calibri" w:hAnsi="Calibri"/>
          <w:b/>
          <w:color w:val="525866"/>
          <w:sz w:val="22"/>
        </w:rPr>
        <w:t>Record $8.5B free cash flow expected for FY 2026:</w:t>
      </w:r>
      <w:r>
        <w:rPr>
          <w:rFonts w:ascii="Calibri" w:hAnsi="Calibri"/>
          <w:color w:val="525866"/>
          <w:sz w:val="22"/>
        </w:rPr>
        <w:t xml:space="preserve"> At current strip pricing and using guidance midpoints. Sector-wide FCF generation is strong — positive for DVN’s combined entity FCF outlook.</w:t>
      </w:r>
    </w:p>
    <w:p>
      <w:pPr>
        <w:pStyle w:val="ListBullet"/>
        <w:ind w:left="360" w:hanging="360"/>
      </w:pPr>
      <w:r>
        <w:rPr>
          <w:rFonts w:ascii="Calibri" w:hAnsi="Calibri"/>
          <w:b/>
          <w:color w:val="525866"/>
          <w:sz w:val="22"/>
        </w:rPr>
        <w:t>U.S. production plateau expected 2027–2030:</w:t>
      </w:r>
      <w:r>
        <w:rPr>
          <w:rFonts w:ascii="Calibri" w:hAnsi="Calibri"/>
          <w:color w:val="525866"/>
          <w:sz w:val="22"/>
        </w:rPr>
        <w:t xml:space="preserve"> Constructive long-term oil price signal; supports DVN’s inventory depth thesis post-Coterra merger.</w:t>
      </w:r>
    </w:p>
    <w:p>
      <w:pPr>
        <w:pStyle w:val="Heading3"/>
      </w:pPr>
      <w:r>
        <w:rPr>
          <w:rFonts w:ascii="Calibri" w:hAnsi="Calibri"/>
          <w:b/>
          <w:color w:val="3B4259"/>
          <w:sz w:val="24"/>
        </w:rPr>
        <w:t>Occidental Petroleum (OXY) — Q1 2026 Earnings (May 6, 2026)</w:t>
      </w:r>
      <w:r>
        <w:rPr>
          <w:rFonts w:ascii="Calibri" w:hAnsi="Calibri"/>
          <w:b/>
          <w:color w:val="3B4259"/>
          <w:sz w:val="24"/>
        </w:rPr>
        <w:t xml:space="preserve"> — MODERATE RELEVANCE (Large Permian Operator)</w:t>
      </w:r>
    </w:p>
    <w:p>
      <w:pPr>
        <w:pStyle w:val="ListBullet"/>
        <w:ind w:left="360" w:hanging="360"/>
      </w:pPr>
      <w:r>
        <w:rPr>
          <w:rFonts w:ascii="Calibri" w:hAnsi="Calibri"/>
          <w:b/>
          <w:color w:val="525866"/>
          <w:sz w:val="22"/>
        </w:rPr>
        <w:t>Permian unconventional production expected to increase in Q2:</w:t>
      </w:r>
      <w:r>
        <w:rPr>
          <w:rFonts w:ascii="Calibri" w:hAnsi="Calibri"/>
          <w:color w:val="525866"/>
          <w:sz w:val="22"/>
        </w:rPr>
        <w:t xml:space="preserve"> ‘Supported by higher activity and resilient base performance.’ Non-operated Delaware Basin activity being managed within plan. </w:t>
      </w:r>
      <w:r>
        <w:rPr>
          <w:rFonts w:ascii="Calibri" w:hAnsi="Calibri"/>
          <w:i/>
          <w:color w:val="525866"/>
          <w:sz w:val="22"/>
        </w:rPr>
        <w:t>Positive read-through:</w:t>
      </w:r>
      <w:r>
        <w:rPr>
          <w:rFonts w:ascii="Calibri" w:hAnsi="Calibri"/>
          <w:color w:val="525866"/>
          <w:sz w:val="22"/>
        </w:rPr>
        <w:t xml:space="preserve"> DVN’s Delaware Basin likely seeing similar base production resilience.</w:t>
      </w:r>
    </w:p>
    <w:p>
      <w:pPr>
        <w:pStyle w:val="ListBullet"/>
        <w:ind w:left="360" w:hanging="360"/>
      </w:pPr>
      <w:r>
        <w:rPr>
          <w:rFonts w:ascii="Calibri" w:hAnsi="Calibri"/>
          <w:b/>
          <w:color w:val="525866"/>
          <w:sz w:val="22"/>
        </w:rPr>
        <w:t>7% new well cost improvement on track for 2026:</w:t>
      </w:r>
      <w:r>
        <w:rPr>
          <w:rFonts w:ascii="Calibri" w:hAnsi="Calibri"/>
          <w:color w:val="525866"/>
          <w:sz w:val="22"/>
        </w:rPr>
        <w:t xml:space="preserve"> ‘Largely driven by efficiencies.’ Service companies ‘still interested in market share’ — pricing discipline holding. </w:t>
      </w:r>
      <w:r>
        <w:rPr>
          <w:rFonts w:ascii="Calibri" w:hAnsi="Calibri"/>
          <w:i/>
          <w:color w:val="525866"/>
          <w:sz w:val="22"/>
        </w:rPr>
        <w:t>Positive read-through:</w:t>
      </w:r>
      <w:r>
        <w:rPr>
          <w:rFonts w:ascii="Calibri" w:hAnsi="Calibri"/>
          <w:color w:val="525866"/>
          <w:sz w:val="22"/>
        </w:rPr>
        <w:t xml:space="preserve"> DVN’s capex efficiency trajectory likely intact.</w:t>
      </w:r>
    </w:p>
    <w:p>
      <w:pPr>
        <w:pStyle w:val="ListBullet"/>
        <w:ind w:left="360" w:hanging="360"/>
      </w:pPr>
      <w:r>
        <w:rPr>
          <w:rFonts w:ascii="Calibri" w:hAnsi="Calibri"/>
          <w:b/>
          <w:color w:val="525866"/>
          <w:sz w:val="22"/>
        </w:rPr>
        <w:t>Domestic LOE outperformed at $7.85/BOE in Q1, 5% better than guidance:</w:t>
      </w:r>
      <w:r>
        <w:rPr>
          <w:rFonts w:ascii="Calibri" w:hAnsi="Calibri"/>
          <w:color w:val="525866"/>
          <w:sz w:val="22"/>
        </w:rPr>
        <w:t xml:space="preserve"> </w:t>
      </w:r>
      <w:r>
        <w:rPr>
          <w:rFonts w:ascii="Calibri" w:hAnsi="Calibri"/>
          <w:i/>
          <w:color w:val="525866"/>
          <w:sz w:val="22"/>
        </w:rPr>
        <w:t>Positive read-through:</w:t>
      </w:r>
      <w:r>
        <w:rPr>
          <w:rFonts w:ascii="Calibri" w:hAnsi="Calibri"/>
          <w:color w:val="525866"/>
          <w:sz w:val="22"/>
        </w:rPr>
        <w:t xml:space="preserve"> DVN’s LOE trajectory likely favorable; consensus LOE of $8.40/BOE for Q2 may prove conservative.</w:t>
      </w:r>
    </w:p>
    <w:p>
      <w:pPr>
        <w:pStyle w:val="ListBullet"/>
        <w:ind w:left="360" w:hanging="360"/>
      </w:pPr>
      <w:r>
        <w:rPr>
          <w:rFonts w:ascii="Calibri" w:hAnsi="Calibri"/>
          <w:b/>
          <w:color w:val="525866"/>
          <w:sz w:val="22"/>
        </w:rPr>
        <w:t>$1.7B free cash flow in Q1 2026 despite oil prices roughly in line with Q1 2025:</w:t>
      </w:r>
      <w:r>
        <w:rPr>
          <w:rFonts w:ascii="Calibri" w:hAnsi="Calibri"/>
          <w:color w:val="525866"/>
          <w:sz w:val="22"/>
        </w:rPr>
        <w:t xml:space="preserve"> 52% higher FCF YoY from cost savings. Validates sector-wide efficiency gains that DVN is also executing.</w:t>
      </w:r>
    </w:p>
    <w:p>
      <w:pPr>
        <w:pStyle w:val="ListBullet"/>
        <w:ind w:left="360" w:hanging="360"/>
      </w:pPr>
      <w:r>
        <w:rPr>
          <w:rFonts w:ascii="Calibri" w:hAnsi="Calibri"/>
          <w:b/>
          <w:color w:val="525866"/>
          <w:sz w:val="22"/>
        </w:rPr>
        <w:t>OXY CEO: U.S. production plateau expected 2027–2030:</w:t>
      </w:r>
      <w:r>
        <w:rPr>
          <w:rFonts w:ascii="Calibri" w:hAnsi="Calibri"/>
          <w:color w:val="525866"/>
          <w:sz w:val="22"/>
        </w:rPr>
        <w:t xml:space="preserve"> ‘Peak supply will occur before peak demand.’ Constructive long-term oil price signal; reinforces DVN’s inventory depth value proposition post-Coterra.</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dominant insider activity since Q1 earnings is </w:t>
      </w:r>
      <w:r>
        <w:rPr>
          <w:rFonts w:ascii="Calibri" w:hAnsi="Calibri"/>
          <w:b/>
          <w:color w:val="525866"/>
          <w:sz w:val="22"/>
        </w:rPr>
        <w:t>merger-related equity awards</w:t>
      </w:r>
      <w:r>
        <w:rPr>
          <w:rFonts w:ascii="Calibri" w:hAnsi="Calibri"/>
          <w:color w:val="525866"/>
          <w:sz w:val="22"/>
        </w:rPr>
        <w:t xml:space="preserve"> to both legacy Devon and legacy Coterra executives on May 7, 2026 (merger close date) — these are not open-market purchases and carry no directional signal. The only open-market sales of note are three modest discretionary sales by executives (Alexander, Vela, Ritenour). </w:t>
      </w:r>
      <w:r>
        <w:rPr>
          <w:rFonts w:ascii="Calibri" w:hAnsi="Calibri"/>
          <w:b/>
          <w:color w:val="525866"/>
          <w:sz w:val="22"/>
        </w:rPr>
        <w:t>No open-market buys have been recorded</w:t>
      </w:r>
      <w:r>
        <w:rPr>
          <w:rFonts w:ascii="Calibri" w:hAnsi="Calibri"/>
          <w:color w:val="525866"/>
          <w:sz w:val="22"/>
        </w:rPr>
        <w:t xml:space="preserve"> — neutral signal during an integration period.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Effective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Andrea Alexander</w:t>
            </w:r>
          </w:p>
        </w:tc>
        <w:tc>
          <w:tcPr>
            <w:tcW w:type="dxa" w:w="1234"/>
          </w:tcPr>
          <w:p>
            <w:r>
              <w:rPr>
                <w:rFonts w:ascii="Calibri" w:hAnsi="Calibri"/>
                <w:sz w:val="22"/>
              </w:rPr>
              <w:t>SVP &amp; Chief Admin Officer</w:t>
            </w:r>
          </w:p>
        </w:tc>
        <w:tc>
          <w:tcPr>
            <w:tcW w:type="dxa" w:w="1234"/>
          </w:tcPr>
          <w:p>
            <w:r>
              <w:rPr>
                <w:rFonts w:ascii="Calibri" w:hAnsi="Calibri"/>
                <w:b/>
                <w:color w:val="E5484D"/>
                <w:sz w:val="22"/>
              </w:rPr>
              <w:t>Open Market Sale</w:t>
            </w:r>
          </w:p>
        </w:tc>
        <w:tc>
          <w:tcPr>
            <w:tcW w:type="dxa" w:w="1234"/>
          </w:tcPr>
          <w:p>
            <w:r>
              <w:rPr>
                <w:rFonts w:ascii="Calibri" w:hAnsi="Calibri"/>
                <w:sz w:val="22"/>
              </w:rPr>
              <w:t>18,000</w:t>
            </w:r>
          </w:p>
        </w:tc>
        <w:tc>
          <w:tcPr>
            <w:tcW w:type="dxa" w:w="1234"/>
          </w:tcPr>
          <w:p>
            <w:r>
              <w:rPr>
                <w:rFonts w:ascii="Calibri" w:hAnsi="Calibri"/>
                <w:sz w:val="22"/>
              </w:rPr>
              <w:t>June 10, 2026</w:t>
            </w:r>
          </w:p>
        </w:tc>
        <w:tc>
          <w:tcPr>
            <w:tcW w:type="dxa" w:w="1234"/>
          </w:tcPr>
          <w:p>
            <w:r>
              <w:rPr>
                <w:rFonts w:ascii="Calibri" w:hAnsi="Calibri"/>
                <w:sz w:val="22"/>
              </w:rPr>
              <w:t>June 12, 2026</w:t>
            </w:r>
          </w:p>
        </w:tc>
        <w:tc>
          <w:tcPr>
            <w:tcW w:type="dxa" w:w="1234"/>
          </w:tcPr>
          <w:p>
            <w:r>
              <w:rPr>
                <w:rFonts w:ascii="Calibri" w:hAnsi="Calibri"/>
                <w:sz w:val="22"/>
              </w:rPr>
              <w:t>Discretionary sale; modest relative to 138,529 shares retained</w:t>
            </w:r>
          </w:p>
        </w:tc>
      </w:tr>
      <w:tr>
        <w:tc>
          <w:tcPr>
            <w:tcW w:type="dxa" w:w="1234"/>
          </w:tcPr>
          <w:p>
            <w:r>
              <w:rPr>
                <w:rFonts w:ascii="Calibri" w:hAnsi="Calibri"/>
                <w:sz w:val="22"/>
              </w:rPr>
              <w:t>Adam Vela</w:t>
            </w:r>
          </w:p>
        </w:tc>
        <w:tc>
          <w:tcPr>
            <w:tcW w:type="dxa" w:w="1234"/>
          </w:tcPr>
          <w:p>
            <w:r>
              <w:rPr>
                <w:rFonts w:ascii="Calibri" w:hAnsi="Calibri"/>
                <w:sz w:val="22"/>
              </w:rPr>
              <w:t>SVP &amp; General Counsel</w:t>
            </w:r>
          </w:p>
        </w:tc>
        <w:tc>
          <w:tcPr>
            <w:tcW w:type="dxa" w:w="1234"/>
          </w:tcPr>
          <w:p>
            <w:r>
              <w:rPr>
                <w:rFonts w:ascii="Calibri" w:hAnsi="Calibri"/>
                <w:b/>
                <w:color w:val="E5484D"/>
                <w:sz w:val="22"/>
              </w:rPr>
              <w:t>Open Market Sale</w:t>
            </w:r>
          </w:p>
        </w:tc>
        <w:tc>
          <w:tcPr>
            <w:tcW w:type="dxa" w:w="1234"/>
          </w:tcPr>
          <w:p>
            <w:r>
              <w:rPr>
                <w:rFonts w:ascii="Calibri" w:hAnsi="Calibri"/>
                <w:sz w:val="22"/>
              </w:rPr>
              <w:t>24,342</w:t>
            </w:r>
          </w:p>
        </w:tc>
        <w:tc>
          <w:tcPr>
            <w:tcW w:type="dxa" w:w="1234"/>
          </w:tcPr>
          <w:p>
            <w:r>
              <w:rPr>
                <w:rFonts w:ascii="Calibri" w:hAnsi="Calibri"/>
                <w:sz w:val="22"/>
              </w:rPr>
              <w:t>May 14, 2026</w:t>
            </w:r>
          </w:p>
        </w:tc>
        <w:tc>
          <w:tcPr>
            <w:tcW w:type="dxa" w:w="1234"/>
          </w:tcPr>
          <w:p>
            <w:r>
              <w:rPr>
                <w:rFonts w:ascii="Calibri" w:hAnsi="Calibri"/>
                <w:sz w:val="22"/>
              </w:rPr>
              <w:t>May 15, 2026</w:t>
            </w:r>
          </w:p>
        </w:tc>
        <w:tc>
          <w:tcPr>
            <w:tcW w:type="dxa" w:w="1234"/>
          </w:tcPr>
          <w:p>
            <w:r>
              <w:rPr>
                <w:rFonts w:ascii="Calibri" w:hAnsi="Calibri"/>
                <w:sz w:val="22"/>
              </w:rPr>
              <w:t>Post-merger sale; modest relative to 130,540 shares retained</w:t>
            </w:r>
          </w:p>
        </w:tc>
      </w:tr>
      <w:tr>
        <w:tc>
          <w:tcPr>
            <w:tcW w:type="dxa" w:w="1234"/>
          </w:tcPr>
          <w:p>
            <w:r>
              <w:rPr>
                <w:rFonts w:ascii="Calibri" w:hAnsi="Calibri"/>
                <w:sz w:val="22"/>
              </w:rPr>
              <w:t>Jeffrey Ritenour</w:t>
            </w:r>
          </w:p>
        </w:tc>
        <w:tc>
          <w:tcPr>
            <w:tcW w:type="dxa" w:w="1234"/>
          </w:tcPr>
          <w:p>
            <w:r>
              <w:rPr>
                <w:rFonts w:ascii="Calibri" w:hAnsi="Calibri"/>
                <w:sz w:val="22"/>
              </w:rPr>
              <w:t>EVP &amp; Chief Corp Dev Officer</w:t>
            </w:r>
          </w:p>
        </w:tc>
        <w:tc>
          <w:tcPr>
            <w:tcW w:type="dxa" w:w="1234"/>
          </w:tcPr>
          <w:p>
            <w:r>
              <w:rPr>
                <w:rFonts w:ascii="Calibri" w:hAnsi="Calibri"/>
                <w:b/>
                <w:color w:val="E5484D"/>
                <w:sz w:val="22"/>
              </w:rPr>
              <w:t>Open Market Sale</w:t>
            </w:r>
          </w:p>
        </w:tc>
        <w:tc>
          <w:tcPr>
            <w:tcW w:type="dxa" w:w="1234"/>
          </w:tcPr>
          <w:p>
            <w:r>
              <w:rPr>
                <w:rFonts w:ascii="Calibri" w:hAnsi="Calibri"/>
                <w:sz w:val="22"/>
              </w:rPr>
              <w:t>70,029</w:t>
            </w:r>
          </w:p>
        </w:tc>
        <w:tc>
          <w:tcPr>
            <w:tcW w:type="dxa" w:w="1234"/>
          </w:tcPr>
          <w:p>
            <w:r>
              <w:rPr>
                <w:rFonts w:ascii="Calibri" w:hAnsi="Calibri"/>
                <w:sz w:val="22"/>
              </w:rPr>
              <w:t>May 11, 2026</w:t>
            </w:r>
          </w:p>
        </w:tc>
        <w:tc>
          <w:tcPr>
            <w:tcW w:type="dxa" w:w="1234"/>
          </w:tcPr>
          <w:p>
            <w:r>
              <w:rPr>
                <w:rFonts w:ascii="Calibri" w:hAnsi="Calibri"/>
                <w:sz w:val="22"/>
              </w:rPr>
              <w:t>May 12, 2026</w:t>
            </w:r>
          </w:p>
        </w:tc>
        <w:tc>
          <w:tcPr>
            <w:tcW w:type="dxa" w:w="1234"/>
          </w:tcPr>
          <w:p>
            <w:r>
              <w:rPr>
                <w:rFonts w:ascii="Calibri" w:hAnsi="Calibri"/>
                <w:sz w:val="22"/>
              </w:rPr>
              <w:t>Post-merger role change (CFO to Corp Dev); likely portfolio rebalancing</w:t>
            </w:r>
          </w:p>
        </w:tc>
      </w:tr>
      <w:tr>
        <w:tc>
          <w:tcPr>
            <w:tcW w:type="dxa" w:w="1234"/>
          </w:tcPr>
          <w:p>
            <w:r>
              <w:rPr>
                <w:rFonts w:ascii="Calibri" w:hAnsi="Calibri"/>
                <w:sz w:val="22"/>
              </w:rPr>
              <w:t>Thomas Jorden (Non-Exec Chair)</w:t>
            </w:r>
          </w:p>
        </w:tc>
        <w:tc>
          <w:tcPr>
            <w:tcW w:type="dxa" w:w="1234"/>
          </w:tcPr>
          <w:p>
            <w:r>
              <w:rPr>
                <w:rFonts w:ascii="Calibri" w:hAnsi="Calibri"/>
                <w:sz w:val="22"/>
              </w:rPr>
              <w:t>Director</w:t>
            </w:r>
          </w:p>
        </w:tc>
        <w:tc>
          <w:tcPr>
            <w:tcW w:type="dxa" w:w="1234"/>
          </w:tcPr>
          <w:p>
            <w:r>
              <w:rPr>
                <w:rFonts w:ascii="Calibri" w:hAnsi="Calibri"/>
                <w:sz w:val="22"/>
              </w:rPr>
              <w:t>Award (A) + Gift Transfer to Trust</w:t>
            </w:r>
          </w:p>
        </w:tc>
        <w:tc>
          <w:tcPr>
            <w:tcW w:type="dxa" w:w="1234"/>
          </w:tcPr>
          <w:p>
            <w:r>
              <w:rPr>
                <w:rFonts w:ascii="Calibri" w:hAnsi="Calibri"/>
                <w:sz w:val="22"/>
              </w:rPr>
              <w:t>7,684 awarded; transferred to trust</w:t>
            </w:r>
          </w:p>
        </w:tc>
        <w:tc>
          <w:tcPr>
            <w:tcW w:type="dxa" w:w="1234"/>
          </w:tcPr>
          <w:p>
            <w:r>
              <w:rPr>
                <w:rFonts w:ascii="Calibri" w:hAnsi="Calibri"/>
                <w:sz w:val="22"/>
              </w:rPr>
              <w:t>June 30 / July 1, 2026</w:t>
            </w:r>
          </w:p>
        </w:tc>
        <w:tc>
          <w:tcPr>
            <w:tcW w:type="dxa" w:w="1234"/>
          </w:tcPr>
          <w:p>
            <w:r>
              <w:rPr>
                <w:rFonts w:ascii="Calibri" w:hAnsi="Calibri"/>
                <w:sz w:val="22"/>
              </w:rPr>
              <w:t>July 2, 2026</w:t>
            </w:r>
          </w:p>
        </w:tc>
        <w:tc>
          <w:tcPr>
            <w:tcW w:type="dxa" w:w="1234"/>
          </w:tcPr>
          <w:p>
            <w:r>
              <w:rPr>
                <w:rFonts w:ascii="Calibri" w:hAnsi="Calibri"/>
                <w:sz w:val="22"/>
              </w:rPr>
              <w:t>Merger-related director equity award; trust transfer is estate planning — no directional signal</w:t>
            </w:r>
          </w:p>
        </w:tc>
      </w:tr>
      <w:tr>
        <w:tc>
          <w:tcPr>
            <w:tcW w:type="dxa" w:w="1234"/>
          </w:tcPr>
          <w:p>
            <w:r>
              <w:rPr>
                <w:rFonts w:ascii="Calibri" w:hAnsi="Calibri"/>
                <w:sz w:val="22"/>
              </w:rPr>
              <w:t>8 Directors (Brock, Fox, Hernandez, Kindick, Kurz, Shellebarger, Smolik, Watts, Williams)</w:t>
            </w:r>
          </w:p>
        </w:tc>
        <w:tc>
          <w:tcPr>
            <w:tcW w:type="dxa" w:w="1234"/>
          </w:tcPr>
          <w:p>
            <w:r>
              <w:rPr>
                <w:rFonts w:ascii="Calibri" w:hAnsi="Calibri"/>
                <w:sz w:val="22"/>
              </w:rPr>
              <w:t>Directors</w:t>
            </w:r>
          </w:p>
        </w:tc>
        <w:tc>
          <w:tcPr>
            <w:tcW w:type="dxa" w:w="1234"/>
          </w:tcPr>
          <w:p>
            <w:r>
              <w:rPr>
                <w:rFonts w:ascii="Calibri" w:hAnsi="Calibri"/>
                <w:sz w:val="22"/>
              </w:rPr>
              <w:t>Award (A) — Routine Annual Grant</w:t>
            </w:r>
          </w:p>
        </w:tc>
        <w:tc>
          <w:tcPr>
            <w:tcW w:type="dxa" w:w="1234"/>
          </w:tcPr>
          <w:p>
            <w:r>
              <w:rPr>
                <w:rFonts w:ascii="Calibri" w:hAnsi="Calibri"/>
                <w:sz w:val="22"/>
              </w:rPr>
              <w:t>~5,567 shares each</w:t>
            </w:r>
          </w:p>
        </w:tc>
        <w:tc>
          <w:tcPr>
            <w:tcW w:type="dxa" w:w="1234"/>
          </w:tcPr>
          <w:p>
            <w:r>
              <w:rPr>
                <w:rFonts w:ascii="Calibri" w:hAnsi="Calibri"/>
                <w:sz w:val="22"/>
              </w:rPr>
              <w:t>June 30, 2026</w:t>
            </w:r>
          </w:p>
        </w:tc>
        <w:tc>
          <w:tcPr>
            <w:tcW w:type="dxa" w:w="1234"/>
          </w:tcPr>
          <w:p>
            <w:r>
              <w:rPr>
                <w:rFonts w:ascii="Calibri" w:hAnsi="Calibri"/>
                <w:sz w:val="22"/>
              </w:rPr>
              <w:t>July 2, 2026</w:t>
            </w:r>
          </w:p>
        </w:tc>
        <w:tc>
          <w:tcPr>
            <w:tcW w:type="dxa" w:w="1234"/>
          </w:tcPr>
          <w:p>
            <w:r>
              <w:rPr>
                <w:rFonts w:ascii="Calibri" w:hAnsi="Calibri"/>
                <w:sz w:val="22"/>
              </w:rPr>
              <w:t>Routine annual director equity awards — no directional signal</w:t>
            </w:r>
          </w:p>
        </w:tc>
      </w:tr>
      <w:tr>
        <w:tc>
          <w:tcPr>
            <w:tcW w:type="dxa" w:w="1234"/>
          </w:tcPr>
          <w:p>
            <w:r>
              <w:rPr>
                <w:rFonts w:ascii="Calibri" w:hAnsi="Calibri"/>
                <w:sz w:val="22"/>
              </w:rPr>
              <w:t>Shannon Young III (CFO)</w:t>
            </w:r>
          </w:p>
        </w:tc>
        <w:tc>
          <w:tcPr>
            <w:tcW w:type="dxa" w:w="1234"/>
          </w:tcPr>
          <w:p>
            <w:r>
              <w:rPr>
                <w:rFonts w:ascii="Calibri" w:hAnsi="Calibri"/>
                <w:sz w:val="22"/>
              </w:rPr>
              <w:t>EVP, CFO</w:t>
            </w:r>
          </w:p>
        </w:tc>
        <w:tc>
          <w:tcPr>
            <w:tcW w:type="dxa" w:w="1234"/>
          </w:tcPr>
          <w:p>
            <w:r>
              <w:rPr>
                <w:rFonts w:ascii="Calibri" w:hAnsi="Calibri"/>
                <w:sz w:val="22"/>
              </w:rPr>
              <w:t>Award (A) — Merger-Related</w:t>
            </w:r>
          </w:p>
        </w:tc>
        <w:tc>
          <w:tcPr>
            <w:tcW w:type="dxa" w:w="1234"/>
          </w:tcPr>
          <w:p>
            <w:r>
              <w:rPr>
                <w:rFonts w:ascii="Calibri" w:hAnsi="Calibri"/>
                <w:sz w:val="22"/>
              </w:rPr>
              <w:t>323,480</w:t>
            </w:r>
          </w:p>
        </w:tc>
        <w:tc>
          <w:tcPr>
            <w:tcW w:type="dxa" w:w="1234"/>
          </w:tcPr>
          <w:p>
            <w:r>
              <w:rPr>
                <w:rFonts w:ascii="Calibri" w:hAnsi="Calibri"/>
                <w:sz w:val="22"/>
              </w:rPr>
              <w:t>May 7, 2026</w:t>
            </w:r>
          </w:p>
        </w:tc>
        <w:tc>
          <w:tcPr>
            <w:tcW w:type="dxa" w:w="1234"/>
          </w:tcPr>
          <w:p>
            <w:r>
              <w:rPr>
                <w:rFonts w:ascii="Calibri" w:hAnsi="Calibri"/>
                <w:sz w:val="22"/>
              </w:rPr>
              <w:t>May 11, 2026</w:t>
            </w:r>
          </w:p>
        </w:tc>
        <w:tc>
          <w:tcPr>
            <w:tcW w:type="dxa" w:w="1234"/>
          </w:tcPr>
          <w:p>
            <w:r>
              <w:rPr>
                <w:rFonts w:ascii="Calibri" w:hAnsi="Calibri"/>
                <w:sz w:val="22"/>
              </w:rPr>
              <w:t>Merger-related equity award to incoming CFO — not an open-market purchase</w:t>
            </w:r>
          </w:p>
        </w:tc>
      </w:tr>
      <w:tr>
        <w:tc>
          <w:tcPr>
            <w:tcW w:type="dxa" w:w="1234"/>
          </w:tcPr>
          <w:p>
            <w:r>
              <w:rPr>
                <w:rFonts w:ascii="Calibri" w:hAnsi="Calibri"/>
                <w:sz w:val="22"/>
              </w:rPr>
              <w:t>Blake Sirgo</w:t>
            </w:r>
          </w:p>
        </w:tc>
        <w:tc>
          <w:tcPr>
            <w:tcW w:type="dxa" w:w="1234"/>
          </w:tcPr>
          <w:p>
            <w:r>
              <w:rPr>
                <w:rFonts w:ascii="Calibri" w:hAnsi="Calibri"/>
                <w:sz w:val="22"/>
              </w:rPr>
              <w:t>EVP, Operations</w:t>
            </w:r>
          </w:p>
        </w:tc>
        <w:tc>
          <w:tcPr>
            <w:tcW w:type="dxa" w:w="1234"/>
          </w:tcPr>
          <w:p>
            <w:r>
              <w:rPr>
                <w:rFonts w:ascii="Calibri" w:hAnsi="Calibri"/>
                <w:sz w:val="22"/>
              </w:rPr>
              <w:t>Award (A) — Merger-Related</w:t>
            </w:r>
          </w:p>
        </w:tc>
        <w:tc>
          <w:tcPr>
            <w:tcW w:type="dxa" w:w="1234"/>
          </w:tcPr>
          <w:p>
            <w:r>
              <w:rPr>
                <w:rFonts w:ascii="Calibri" w:hAnsi="Calibri"/>
                <w:sz w:val="22"/>
              </w:rPr>
              <w:t>199,039</w:t>
            </w:r>
          </w:p>
        </w:tc>
        <w:tc>
          <w:tcPr>
            <w:tcW w:type="dxa" w:w="1234"/>
          </w:tcPr>
          <w:p>
            <w:r>
              <w:rPr>
                <w:rFonts w:ascii="Calibri" w:hAnsi="Calibri"/>
                <w:sz w:val="22"/>
              </w:rPr>
              <w:t>May 7, 2026</w:t>
            </w:r>
          </w:p>
        </w:tc>
        <w:tc>
          <w:tcPr>
            <w:tcW w:type="dxa" w:w="1234"/>
          </w:tcPr>
          <w:p>
            <w:r>
              <w:rPr>
                <w:rFonts w:ascii="Calibri" w:hAnsi="Calibri"/>
                <w:sz w:val="22"/>
              </w:rPr>
              <w:t>May 11, 2026</w:t>
            </w:r>
          </w:p>
        </w:tc>
        <w:tc>
          <w:tcPr>
            <w:tcW w:type="dxa" w:w="1234"/>
          </w:tcPr>
          <w:p>
            <w:r>
              <w:rPr>
                <w:rFonts w:ascii="Calibri" w:hAnsi="Calibri"/>
                <w:sz w:val="22"/>
              </w:rPr>
              <w:t>Merger-related equity award — not an open-market purchase</w:t>
            </w:r>
          </w:p>
        </w:tc>
      </w:tr>
    </w:tbl>
    <w:p>
      <w:r>
        <w:rPr>
          <w:rFonts w:ascii="Calibri" w:hAnsi="Calibri"/>
          <w:i/>
          <w:color w:val="525866"/>
          <w:sz w:val="22"/>
        </w:rPr>
        <w:t xml:space="preserve">Source: Insider Transaction Data (SEC Form 4). </w:t>
      </w:r>
      <w:r>
        <w:rPr>
          <w:rFonts w:ascii="Calibri" w:hAnsi="Calibri"/>
          <w:i/>
          <w:color w:val="525866"/>
          <w:sz w:val="22"/>
        </w:rPr>
        <w:t>The large equity awards on May 7, 2026 (merger close date) to executives including the new CFO, EVP Operations, and General Counsel are merger-related compensation conversions, not open-market purchases. No open-market buys have been recorded since Q1 earnings — neutral signal during an integration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