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Devon Energy Corporation (DVN)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Devon Energy Corporation (NYSE: DVN)</w:t>
            </w:r>
          </w:p>
        </w:tc>
      </w:tr>
      <w:tr>
        <w:tc>
          <w:tcPr>
            <w:tcW w:type="dxa" w:w="4320"/>
          </w:tcPr>
          <w:p>
            <w:r>
              <w:rPr>
                <w:rFonts w:ascii="Calibri" w:hAnsi="Calibri"/>
                <w:b/>
                <w:sz w:val="22"/>
              </w:rPr>
              <w:t>Reporting Quarter</w:t>
            </w:r>
          </w:p>
        </w:tc>
        <w:tc>
          <w:tcPr>
            <w:tcW w:type="dxa" w:w="4320"/>
          </w:tcPr>
          <w:p>
            <w:r>
              <w:rPr>
                <w:rFonts w:ascii="Calibri" w:hAnsi="Calibri"/>
                <w:sz w:val="22"/>
              </w:rPr>
              <w:t>Q2 2026 (period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 Conference Call 11:00 AM ET</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Sector ETF Benchmark</w:t>
            </w:r>
          </w:p>
        </w:tc>
        <w:tc>
          <w:tcPr>
            <w:tcW w:type="dxa" w:w="4320"/>
          </w:tcPr>
          <w:p>
            <w:r>
              <w:rPr>
                <w:rFonts w:ascii="Calibri" w:hAnsi="Calibri"/>
                <w:sz w:val="22"/>
              </w:rPr>
              <w:t>XLE (Energy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DVN's first post-merger print is constructive — consensus is a manageable bar against a materially stronger commodity backdrop, and the real story is whether management can deliver a credible combined-entity guidance framework that justifies the re-rating the stock has not yet fully received.</w:t>
      </w:r>
    </w:p>
    <w:p>
      <w:r>
        <w:rPr>
          <w:rFonts w:ascii="Calibri" w:hAnsi="Calibri"/>
          <w:color w:val="525866"/>
          <w:sz w:val="22"/>
        </w:rPr>
        <w:t xml:space="preserve">Devon heads into its Q2 2026 print as a fundamentally different company following the May 7 close of the Coterra merger, making this the first quarter where the combined entity's operational and financial profile will be on full display. </w:t>
      </w:r>
      <w:r>
        <w:rPr>
          <w:rFonts w:ascii="Calibri" w:hAnsi="Calibri"/>
          <w:b/>
          <w:color w:val="525866"/>
          <w:sz w:val="22"/>
        </w:rPr>
        <w:t>Consensus oil production of ~491 Mbpd</w:t>
      </w:r>
      <w:r>
        <w:rPr>
          <w:rFonts w:ascii="Calibri" w:hAnsi="Calibri"/>
          <w:color w:val="525866"/>
          <w:sz w:val="22"/>
        </w:rPr>
        <w:t xml:space="preserve"> reflects a meaningful step-up from the 387 Mbpd Devon reported on a standalone basis in Q1, and the bar appears achievable given that standalone Q2 guidance already pointed to 389–395 Mbpd before Coterra volumes are layered in. The commodity backdrop is a significant tailwind: WTI averaged ~$92.85/bbl in Q2 (per EOG's 8-K filing), well above what was underwritten at the start of the year, driven by the US-Iran conflict disrupting Strait of Hormuz flows and pushing Brent above $100 at points during the quarter. </w:t>
      </w:r>
      <w:r>
        <w:rPr>
          <w:rFonts w:ascii="Calibri" w:hAnsi="Calibri"/>
          <w:b/>
          <w:color w:val="525866"/>
          <w:sz w:val="22"/>
        </w:rPr>
        <w:t>Operating EPS consensus of ~$1.46</w:t>
      </w:r>
      <w:r>
        <w:rPr>
          <w:rFonts w:ascii="Calibri" w:hAnsi="Calibri"/>
          <w:color w:val="525866"/>
          <w:sz w:val="22"/>
        </w:rPr>
        <w:t xml:space="preserve"> has drifted down modestly from the ~$1.48 level seen just after Q1 earnings, suggesting the street has been cautious on integration costs and tax normalization (Q1 benefited from a one-time ~$218M tax benefit under the One Big Beautiful Bill Act that will not repeat). The stock has underperformed XLE since the Q1 print — down ~12% vs. XLE roughly flat — suggesting the market has not yet given full credit for the merger upside, which creates an asymmetric setup if management delivers a compelling combined-entity framework. The single biggest wildcard is the quality and specificity of full-year combined guidance: management deferred this to mid-June, and the market will scrutinize the synergy ramp trajectory, portfolio review outcomes, and the new shareholder return framework (dividend raised &gt;30% per share, buyback authorization &gt;$5B) as the primary re-rating catalysts.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oil production given the strong commodity environment, but the EPS line carries more uncertainty due to tax normalization and integration costs; oil production volume is the bigger swing factor for the stock reaction.</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(Standalone DVN)</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Operating EPS (Diluted)</w:t>
            </w:r>
          </w:p>
        </w:tc>
        <w:tc>
          <w:tcPr>
            <w:tcW w:type="dxa" w:w="1234"/>
          </w:tcPr>
          <w:p>
            <w:r>
              <w:rPr>
                <w:rFonts w:ascii="Calibri" w:hAnsi="Calibri"/>
                <w:sz w:val="22"/>
              </w:rPr>
              <w:t>$1.04</w:t>
            </w:r>
          </w:p>
        </w:tc>
        <w:tc>
          <w:tcPr>
            <w:tcW w:type="dxa" w:w="1234"/>
          </w:tcPr>
          <w:p>
            <w:r>
              <w:rPr>
                <w:rFonts w:ascii="Calibri" w:hAnsi="Calibri"/>
                <w:sz w:val="22"/>
              </w:rPr>
              <w:t>$0.84</w:t>
            </w:r>
          </w:p>
        </w:tc>
        <w:tc>
          <w:tcPr>
            <w:tcW w:type="dxa" w:w="1234"/>
          </w:tcPr>
          <w:p>
            <w:r>
              <w:rPr>
                <w:rFonts w:ascii="Calibri" w:hAnsi="Calibri"/>
                <w:sz w:val="22"/>
              </w:rPr>
              <w:t>$1.46</w:t>
            </w:r>
          </w:p>
        </w:tc>
        <w:tc>
          <w:tcPr>
            <w:tcW w:type="dxa" w:w="1234"/>
          </w:tcPr>
          <w:p>
            <w:r>
              <w:rPr>
                <w:rFonts w:ascii="Calibri" w:hAnsi="Calibri"/>
                <w:sz w:val="22"/>
              </w:rPr>
              <w:t>+73.8% YoY</w:t>
            </w:r>
          </w:p>
        </w:tc>
        <w:tc>
          <w:tcPr>
            <w:tcW w:type="dxa" w:w="1234"/>
          </w:tcPr>
          <w:p>
            <w:r>
              <w:rPr>
                <w:rFonts w:ascii="Calibri" w:hAnsi="Calibri"/>
                <w:sz w:val="22"/>
              </w:rPr>
              <w:t>N/A (combined entity)</w:t>
            </w:r>
          </w:p>
        </w:tc>
        <w:tc>
          <w:tcPr>
            <w:tcW w:type="dxa" w:w="1234"/>
          </w:tcPr>
          <w:p>
            <w:r>
              <w:rPr>
                <w:rFonts w:ascii="Calibri" w:hAnsi="Calibri"/>
                <w:sz w:val="22"/>
              </w:rPr>
              <w:t>N/A</w:t>
            </w:r>
          </w:p>
        </w:tc>
      </w:tr>
      <w:tr>
        <w:tc>
          <w:tcPr>
            <w:tcW w:type="dxa" w:w="1234"/>
          </w:tcPr>
          <w:p>
            <w:r>
              <w:rPr>
                <w:rFonts w:ascii="Calibri" w:hAnsi="Calibri"/>
                <w:sz w:val="22"/>
              </w:rPr>
              <w:t>Total Oil Production (Mbpd)</w:t>
            </w:r>
          </w:p>
        </w:tc>
        <w:tc>
          <w:tcPr>
            <w:tcW w:type="dxa" w:w="1234"/>
          </w:tcPr>
          <w:p>
            <w:r>
              <w:rPr>
                <w:rFonts w:ascii="Calibri" w:hAnsi="Calibri"/>
                <w:sz w:val="22"/>
              </w:rPr>
              <w:t>387 Mbpd</w:t>
            </w:r>
          </w:p>
        </w:tc>
        <w:tc>
          <w:tcPr>
            <w:tcW w:type="dxa" w:w="1234"/>
          </w:tcPr>
          <w:p>
            <w:r>
              <w:rPr>
                <w:rFonts w:ascii="Calibri" w:hAnsi="Calibri"/>
                <w:sz w:val="22"/>
              </w:rPr>
              <w:t>387 Mbpd</w:t>
            </w:r>
          </w:p>
        </w:tc>
        <w:tc>
          <w:tcPr>
            <w:tcW w:type="dxa" w:w="1234"/>
          </w:tcPr>
          <w:p>
            <w:r>
              <w:rPr>
                <w:rFonts w:ascii="Calibri" w:hAnsi="Calibri"/>
                <w:sz w:val="22"/>
              </w:rPr>
              <w:t>~491 Mbpd</w:t>
            </w:r>
          </w:p>
        </w:tc>
        <w:tc>
          <w:tcPr>
            <w:tcW w:type="dxa" w:w="1234"/>
          </w:tcPr>
          <w:p>
            <w:r>
              <w:rPr>
                <w:rFonts w:ascii="Calibri" w:hAnsi="Calibri"/>
                <w:sz w:val="22"/>
              </w:rPr>
              <w:t>+26.9% YoY</w:t>
            </w:r>
          </w:p>
        </w:tc>
        <w:tc>
          <w:tcPr>
            <w:tcW w:type="dxa" w:w="1234"/>
          </w:tcPr>
          <w:p>
            <w:r>
              <w:rPr>
                <w:rFonts w:ascii="Calibri" w:hAnsi="Calibri"/>
                <w:sz w:val="22"/>
              </w:rPr>
              <w:t>389–395 Mbpd (standalone only)</w:t>
            </w:r>
          </w:p>
        </w:tc>
        <w:tc>
          <w:tcPr>
            <w:tcW w:type="dxa" w:w="1234"/>
          </w:tcPr>
          <w:p>
            <w:r>
              <w:rPr>
                <w:rFonts w:ascii="Calibri" w:hAnsi="Calibri"/>
                <w:sz w:val="22"/>
              </w:rPr>
              <w:t>~+25% above standalone midpoint (Coterra volumes additive)</w:t>
            </w:r>
          </w:p>
        </w:tc>
      </w:tr>
      <w:tr>
        <w:tc>
          <w:tcPr>
            <w:tcW w:type="dxa" w:w="1234"/>
          </w:tcPr>
          <w:p>
            <w:r>
              <w:rPr>
                <w:rFonts w:ascii="Calibri" w:hAnsi="Calibri"/>
                <w:sz w:val="22"/>
              </w:rPr>
              <w:t>Capital Expenditures ($M)</w:t>
            </w:r>
          </w:p>
        </w:tc>
        <w:tc>
          <w:tcPr>
            <w:tcW w:type="dxa" w:w="1234"/>
          </w:tcPr>
          <w:p>
            <w:r>
              <w:rPr>
                <w:rFonts w:ascii="Calibri" w:hAnsi="Calibri"/>
                <w:sz w:val="22"/>
              </w:rPr>
              <w:t>$839M</w:t>
            </w:r>
          </w:p>
        </w:tc>
        <w:tc>
          <w:tcPr>
            <w:tcW w:type="dxa" w:w="1234"/>
          </w:tcPr>
          <w:p>
            <w:r>
              <w:rPr>
                <w:rFonts w:ascii="Calibri" w:hAnsi="Calibri"/>
                <w:sz w:val="22"/>
              </w:rPr>
              <w:t>$956M</w:t>
            </w:r>
          </w:p>
        </w:tc>
        <w:tc>
          <w:tcPr>
            <w:tcW w:type="dxa" w:w="1234"/>
          </w:tcPr>
          <w:p>
            <w:r>
              <w:rPr>
                <w:rFonts w:ascii="Calibri" w:hAnsi="Calibri"/>
                <w:sz w:val="22"/>
              </w:rPr>
              <w:t>~$1,245M</w:t>
            </w:r>
          </w:p>
        </w:tc>
        <w:tc>
          <w:tcPr>
            <w:tcW w:type="dxa" w:w="1234"/>
          </w:tcPr>
          <w:p>
            <w:r>
              <w:rPr>
                <w:rFonts w:ascii="Calibri" w:hAnsi="Calibri"/>
                <w:sz w:val="22"/>
              </w:rPr>
              <w:t>+30.3% YoY</w:t>
            </w:r>
          </w:p>
        </w:tc>
        <w:tc>
          <w:tcPr>
            <w:tcW w:type="dxa" w:w="1234"/>
          </w:tcPr>
          <w:p>
            <w:r>
              <w:rPr>
                <w:rFonts w:ascii="Calibri" w:hAnsi="Calibri"/>
                <w:sz w:val="22"/>
              </w:rPr>
              <w:t>$875–$925M (standalone only)</w:t>
            </w:r>
          </w:p>
        </w:tc>
        <w:tc>
          <w:tcPr>
            <w:tcW w:type="dxa" w:w="1234"/>
          </w:tcPr>
          <w:p>
            <w:r>
              <w:rPr>
                <w:rFonts w:ascii="Calibri" w:hAnsi="Calibri"/>
                <w:sz w:val="22"/>
              </w:rPr>
              <w:t>~+35% above standalone midpoint (Coterra capex additive)</w:t>
            </w:r>
          </w:p>
        </w:tc>
      </w:tr>
      <w:tr>
        <w:tc>
          <w:tcPr>
            <w:tcW w:type="dxa" w:w="1234"/>
          </w:tcPr>
          <w:p>
            <w:r>
              <w:rPr>
                <w:rFonts w:ascii="Calibri" w:hAnsi="Calibri"/>
                <w:sz w:val="22"/>
              </w:rPr>
              <w:t>Free Cash Flow ($M)</w:t>
            </w:r>
          </w:p>
        </w:tc>
        <w:tc>
          <w:tcPr>
            <w:tcW w:type="dxa" w:w="1234"/>
          </w:tcPr>
          <w:p>
            <w:r>
              <w:rPr>
                <w:rFonts w:ascii="Calibri" w:hAnsi="Calibri"/>
                <w:sz w:val="22"/>
              </w:rPr>
              <w:t>$816M</w:t>
            </w:r>
          </w:p>
        </w:tc>
        <w:tc>
          <w:tcPr>
            <w:tcW w:type="dxa" w:w="1234"/>
          </w:tcPr>
          <w:p>
            <w:r>
              <w:rPr>
                <w:rFonts w:ascii="Calibri" w:hAnsi="Calibri"/>
                <w:sz w:val="22"/>
              </w:rPr>
              <w:t>$479M</w:t>
            </w:r>
          </w:p>
        </w:tc>
        <w:tc>
          <w:tcPr>
            <w:tcW w:type="dxa" w:w="1234"/>
          </w:tcPr>
          <w:p>
            <w:r>
              <w:rPr>
                <w:rFonts w:ascii="Calibri" w:hAnsi="Calibri"/>
                <w:sz w:val="22"/>
              </w:rPr>
              <w:t>~$1,345M</w:t>
            </w:r>
          </w:p>
        </w:tc>
        <w:tc>
          <w:tcPr>
            <w:tcW w:type="dxa" w:w="1234"/>
          </w:tcPr>
          <w:p>
            <w:r>
              <w:rPr>
                <w:rFonts w:ascii="Calibri" w:hAnsi="Calibri"/>
                <w:sz w:val="22"/>
              </w:rPr>
              <w:t>+180.8% YoY</w:t>
            </w:r>
          </w:p>
        </w:tc>
        <w:tc>
          <w:tcPr>
            <w:tcW w:type="dxa" w:w="1234"/>
          </w:tcPr>
          <w:p>
            <w:r>
              <w:rPr>
                <w:rFonts w:ascii="Calibri" w:hAnsi="Calibri"/>
                <w:sz w:val="22"/>
              </w:rPr>
              <w:t>N/A (combined entity)</w:t>
            </w:r>
          </w:p>
        </w:tc>
        <w:tc>
          <w:tcPr>
            <w:tcW w:type="dxa" w:w="1234"/>
          </w:tcPr>
          <w:p>
            <w:r>
              <w:rPr>
                <w:rFonts w:ascii="Calibri" w:hAnsi="Calibri"/>
                <w:sz w:val="22"/>
              </w:rPr>
              <w:t>N/A</w:t>
            </w:r>
          </w:p>
        </w:tc>
      </w:tr>
    </w:tbl>
    <w:p>
      <w:r>
        <w:rPr>
          <w:rFonts w:ascii="Calibri" w:hAnsi="Calibri"/>
          <w:b/>
          <w:color w:val="525866"/>
          <w:sz w:val="22"/>
        </w:rPr>
        <w:t xml:space="preserve">Sources: </w:t>
      </w:r>
      <w:r>
        <w:rPr>
          <w:rFonts w:ascii="Calibri" w:hAnsi="Calibri"/>
          <w:color w:val="525866"/>
          <w:sz w:val="22"/>
        </w:rPr>
        <w:t>Visible Alpha Consensus and Actuals Data (EPS: https://insights.visiblealpha.com/mex/DVN_US/NMV/IS; Oil Production: https://insights.visiblealpha.com/mex/DVN_US/NMV/CO; CapEx &amp; FCF: https://insights.visiblealpha.com/mex/DVN_US/NMV/CF). Q2 2026 standalone guidance from DVN Q1 2026 Earnings Release (May 5, 2026). Note: Q2 2026 consensus reflects the combined Devon+Coterra entity; standalone Q2 guidance covers legacy Devon operations only. YoY comparisons for production and EPS are on a standalone Devon basis.</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Operating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2025</w:t>
            </w:r>
          </w:p>
        </w:tc>
        <w:tc>
          <w:tcPr>
            <w:tcW w:type="dxa" w:w="1728"/>
          </w:tcPr>
          <w:p>
            <w:r>
              <w:rPr>
                <w:rFonts w:ascii="Calibri" w:hAnsi="Calibri"/>
                <w:sz w:val="22"/>
              </w:rPr>
              <w:t>$0.84</w:t>
            </w:r>
          </w:p>
        </w:tc>
        <w:tc>
          <w:tcPr>
            <w:tcW w:type="dxa" w:w="1728"/>
          </w:tcPr>
          <w:p>
            <w:r>
              <w:rPr>
                <w:rFonts w:ascii="Calibri" w:hAnsi="Calibri"/>
                <w:sz w:val="22"/>
              </w:rPr>
              <w:t>$0.85</w:t>
            </w:r>
          </w:p>
        </w:tc>
        <w:tc>
          <w:tcPr>
            <w:tcW w:type="dxa" w:w="1728"/>
          </w:tcPr>
          <w:p>
            <w:r>
              <w:rPr>
                <w:rFonts w:ascii="Calibri" w:hAnsi="Calibri"/>
                <w:sz w:val="22"/>
              </w:rPr>
              <w:t>-1.2%</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$1.04</w:t>
            </w:r>
          </w:p>
        </w:tc>
        <w:tc>
          <w:tcPr>
            <w:tcW w:type="dxa" w:w="1728"/>
          </w:tcPr>
          <w:p>
            <w:r>
              <w:rPr>
                <w:rFonts w:ascii="Calibri" w:hAnsi="Calibri"/>
                <w:sz w:val="22"/>
              </w:rPr>
              <w:t>$0.94</w:t>
            </w:r>
          </w:p>
        </w:tc>
        <w:tc>
          <w:tcPr>
            <w:tcW w:type="dxa" w:w="1728"/>
          </w:tcPr>
          <w:p>
            <w:r>
              <w:rPr>
                <w:rFonts w:ascii="Calibri" w:hAnsi="Calibri"/>
                <w:sz w:val="22"/>
              </w:rPr>
              <w:t>+10.6%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$0.82</w:t>
            </w:r>
          </w:p>
        </w:tc>
        <w:tc>
          <w:tcPr>
            <w:tcW w:type="dxa" w:w="1728"/>
          </w:tcPr>
          <w:p>
            <w:r>
              <w:rPr>
                <w:rFonts w:ascii="Calibri" w:hAnsi="Calibri"/>
                <w:sz w:val="22"/>
              </w:rPr>
              <w:t>$0.80</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$1.04</w:t>
            </w:r>
          </w:p>
        </w:tc>
        <w:tc>
          <w:tcPr>
            <w:tcW w:type="dxa" w:w="1728"/>
          </w:tcPr>
          <w:p>
            <w:r>
              <w:rPr>
                <w:rFonts w:ascii="Calibri" w:hAnsi="Calibri"/>
                <w:sz w:val="22"/>
              </w:rPr>
              <w:t>$1.06</w:t>
            </w:r>
          </w:p>
        </w:tc>
        <w:tc>
          <w:tcPr>
            <w:tcW w:type="dxa" w:w="1728"/>
          </w:tcPr>
          <w:p>
            <w:r>
              <w:rPr>
                <w:rFonts w:ascii="Calibri" w:hAnsi="Calibri"/>
                <w:sz w:val="22"/>
              </w:rPr>
              <w:t>-1.9%</w:t>
            </w:r>
          </w:p>
        </w:tc>
        <w:tc>
          <w:tcPr>
            <w:tcW w:type="dxa" w:w="1728"/>
          </w:tcPr>
          <w:p>
            <w:r>
              <w:rPr>
                <w:rFonts w:ascii="Calibri" w:hAnsi="Calibri"/>
                <w:b/>
                <w:color w:val="E5484D"/>
                <w:sz w:val="22"/>
              </w:rPr>
              <w:t>Miss</w:t>
            </w:r>
          </w:p>
        </w:tc>
      </w:tr>
    </w:tbl>
    <w:p>
      <w:pPr>
        <w:pStyle w:val="Heading4"/>
      </w:pPr>
      <w:r>
        <w:rPr>
          <w:rFonts w:ascii="Calibri" w:hAnsi="Calibri"/>
          <w:b/>
          <w:color w:val="3B4259"/>
          <w:sz w:val="22"/>
        </w:rPr>
        <w:t>KPI 2: Total Oil Production (Mbpd)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(Mbpd)</w:t>
            </w:r>
          </w:p>
        </w:tc>
        <w:tc>
          <w:tcPr>
            <w:tcW w:type="dxa" w:w="1728"/>
            <w:shd w:val="clear" w:color="auto" w:fill="3B4259"/>
          </w:tcPr>
          <w:p>
            <w:r>
              <w:rPr>
                <w:rFonts w:ascii="Calibri" w:hAnsi="Calibri"/>
                <w:b/>
                <w:color w:val="FFFFFF"/>
                <w:sz w:val="22"/>
              </w:rPr>
              <w:t>Consensus (Mbpd)</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2025</w:t>
            </w:r>
          </w:p>
        </w:tc>
        <w:tc>
          <w:tcPr>
            <w:tcW w:type="dxa" w:w="1728"/>
          </w:tcPr>
          <w:p>
            <w:r>
              <w:rPr>
                <w:rFonts w:ascii="Calibri" w:hAnsi="Calibri"/>
                <w:sz w:val="22"/>
              </w:rPr>
              <w:t>387</w:t>
            </w:r>
          </w:p>
        </w:tc>
        <w:tc>
          <w:tcPr>
            <w:tcW w:type="dxa" w:w="1728"/>
          </w:tcPr>
          <w:p>
            <w:r>
              <w:rPr>
                <w:rFonts w:ascii="Calibri" w:hAnsi="Calibri"/>
                <w:sz w:val="22"/>
              </w:rPr>
              <w:t>386</w:t>
            </w:r>
          </w:p>
        </w:tc>
        <w:tc>
          <w:tcPr>
            <w:tcW w:type="dxa" w:w="1728"/>
          </w:tcPr>
          <w:p>
            <w:r>
              <w:rPr>
                <w:rFonts w:ascii="Calibri" w:hAnsi="Calibri"/>
                <w:sz w:val="22"/>
              </w:rPr>
              <w:t>+0.3%</w:t>
            </w:r>
          </w:p>
        </w:tc>
        <w:tc>
          <w:tcPr>
            <w:tcW w:type="dxa" w:w="1728"/>
          </w:tcPr>
          <w:p>
            <w:r>
              <w:rPr>
                <w:rFonts w:ascii="Calibri" w:hAnsi="Calibri"/>
                <w:b/>
                <w:color w:val="30A46C"/>
                <w:sz w:val="22"/>
              </w:rPr>
              <w:t>In-Line / Slight Beat</w:t>
            </w:r>
          </w:p>
        </w:tc>
      </w:tr>
      <w:tr>
        <w:tc>
          <w:tcPr>
            <w:tcW w:type="dxa" w:w="1728"/>
          </w:tcPr>
          <w:p>
            <w:r>
              <w:rPr>
                <w:rFonts w:ascii="Calibri" w:hAnsi="Calibri"/>
                <w:sz w:val="22"/>
              </w:rPr>
              <w:t>Q3 2025</w:t>
            </w:r>
          </w:p>
        </w:tc>
        <w:tc>
          <w:tcPr>
            <w:tcW w:type="dxa" w:w="1728"/>
          </w:tcPr>
          <w:p>
            <w:r>
              <w:rPr>
                <w:rFonts w:ascii="Calibri" w:hAnsi="Calibri"/>
                <w:sz w:val="22"/>
              </w:rPr>
              <w:t>390</w:t>
            </w:r>
          </w:p>
        </w:tc>
        <w:tc>
          <w:tcPr>
            <w:tcW w:type="dxa" w:w="1728"/>
          </w:tcPr>
          <w:p>
            <w:r>
              <w:rPr>
                <w:rFonts w:ascii="Calibri" w:hAnsi="Calibri"/>
                <w:sz w:val="22"/>
              </w:rPr>
              <w:t>388</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390</w:t>
            </w:r>
          </w:p>
        </w:tc>
        <w:tc>
          <w:tcPr>
            <w:tcW w:type="dxa" w:w="1728"/>
          </w:tcPr>
          <w:p>
            <w:r>
              <w:rPr>
                <w:rFonts w:ascii="Calibri" w:hAnsi="Calibri"/>
                <w:sz w:val="22"/>
              </w:rPr>
              <w:t>387</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387</w:t>
            </w:r>
          </w:p>
        </w:tc>
        <w:tc>
          <w:tcPr>
            <w:tcW w:type="dxa" w:w="1728"/>
          </w:tcPr>
          <w:p>
            <w:r>
              <w:rPr>
                <w:rFonts w:ascii="Calibri" w:hAnsi="Calibri"/>
                <w:sz w:val="22"/>
              </w:rPr>
              <w:t>385</w:t>
            </w:r>
          </w:p>
        </w:tc>
        <w:tc>
          <w:tcPr>
            <w:tcW w:type="dxa" w:w="1728"/>
          </w:tcPr>
          <w:p>
            <w:r>
              <w:rPr>
                <w:rFonts w:ascii="Calibri" w:hAnsi="Calibri"/>
                <w:sz w:val="22"/>
              </w:rPr>
              <w:t>+0.5%</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DVN has consistently met or beaten oil production guidance over the last four reported quarters, reflecting strong operational execution; EPS has been more mixed, with the Q1 2026 slight miss driven by a one-time tax benefit that inflated the consensus bar.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earnings call, but the combined-entity framework — deferred to mid-June — is the critical new input; tone on synergies and the commodity backdrop has grown more confident, while the portfolio review adds optionality that the market has not yet priced.</w:t>
      </w:r>
    </w:p>
    <w:p>
      <w:r>
        <w:rPr>
          <w:rFonts w:ascii="Calibri" w:hAnsi="Calibri"/>
          <w:color w:val="525866"/>
          <w:sz w:val="22"/>
        </w:rPr>
        <w:t>Baseline: Q1 2026 Earnings Call (May 6, 2026) and Q1 2026 Earnings Release (May 5,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Oil Production (Mbpd, standalone)</w:t>
            </w:r>
          </w:p>
        </w:tc>
        <w:tc>
          <w:tcPr>
            <w:tcW w:type="dxa" w:w="1728"/>
          </w:tcPr>
          <w:p>
            <w:r>
              <w:rPr>
                <w:rFonts w:ascii="Calibri" w:hAnsi="Calibri"/>
                <w:sz w:val="22"/>
              </w:rPr>
              <w:t>389–395 Mbpd</w:t>
            </w:r>
          </w:p>
        </w:tc>
        <w:tc>
          <w:tcPr>
            <w:tcW w:type="dxa" w:w="1728"/>
          </w:tcPr>
          <w:p>
            <w:r>
              <w:rPr>
                <w:rFonts w:ascii="Calibri" w:hAnsi="Calibri"/>
                <w:sz w:val="22"/>
              </w:rPr>
              <w:t>—</w:t>
            </w:r>
          </w:p>
        </w:tc>
        <w:tc>
          <w:tcPr>
            <w:tcW w:type="dxa" w:w="1728"/>
          </w:tcPr>
          <w:p>
            <w:r>
              <w:rPr>
                <w:rFonts w:ascii="Calibri" w:hAnsi="Calibri"/>
                <w:sz w:val="22"/>
              </w:rPr>
              <w:t>~491 Mbpd (combined)</w:t>
            </w:r>
          </w:p>
        </w:tc>
        <w:tc>
          <w:tcPr>
            <w:tcW w:type="dxa" w:w="1728"/>
          </w:tcPr>
          <w:p>
            <w:r>
              <w:rPr>
                <w:rFonts w:ascii="Calibri" w:hAnsi="Calibri"/>
                <w:sz w:val="22"/>
              </w:rPr>
              <w:t>Standalone guidance only; combined-entity guidance expected at Q2 print. Consensus reflects full Devon+Coterra volumes.</w:t>
            </w:r>
          </w:p>
        </w:tc>
      </w:tr>
      <w:tr>
        <w:tc>
          <w:tcPr>
            <w:tcW w:type="dxa" w:w="1728"/>
          </w:tcPr>
          <w:p>
            <w:r>
              <w:rPr>
                <w:rFonts w:ascii="Calibri" w:hAnsi="Calibri"/>
                <w:sz w:val="22"/>
              </w:rPr>
              <w:t>Q2 2026 Total Production (MBoe/d, standalone)</w:t>
            </w:r>
          </w:p>
        </w:tc>
        <w:tc>
          <w:tcPr>
            <w:tcW w:type="dxa" w:w="1728"/>
          </w:tcPr>
          <w:p>
            <w:r>
              <w:rPr>
                <w:rFonts w:ascii="Calibri" w:hAnsi="Calibri"/>
                <w:sz w:val="22"/>
              </w:rPr>
              <w:t>851–868 MBoe/d (46% oil)</w:t>
            </w:r>
          </w:p>
        </w:tc>
        <w:tc>
          <w:tcPr>
            <w:tcW w:type="dxa" w:w="1728"/>
          </w:tcPr>
          <w:p>
            <w:r>
              <w:rPr>
                <w:rFonts w:ascii="Calibri" w:hAnsi="Calibri"/>
                <w:sz w:val="22"/>
              </w:rPr>
              <w:t>—</w:t>
            </w:r>
          </w:p>
        </w:tc>
        <w:tc>
          <w:tcPr>
            <w:tcW w:type="dxa" w:w="1728"/>
          </w:tcPr>
          <w:p>
            <w:r>
              <w:rPr>
                <w:rFonts w:ascii="Calibri" w:hAnsi="Calibri"/>
                <w:sz w:val="22"/>
              </w:rPr>
              <w:t>N/A (combined entity)</w:t>
            </w:r>
          </w:p>
        </w:tc>
        <w:tc>
          <w:tcPr>
            <w:tcW w:type="dxa" w:w="1728"/>
          </w:tcPr>
          <w:p>
            <w:r>
              <w:rPr>
                <w:rFonts w:ascii="Calibri" w:hAnsi="Calibri"/>
                <w:sz w:val="22"/>
              </w:rPr>
              <w:t>Standalone only; combined guidance deferred to mid-June 2026 per Q1 call.</w:t>
            </w:r>
          </w:p>
        </w:tc>
      </w:tr>
      <w:tr>
        <w:tc>
          <w:tcPr>
            <w:tcW w:type="dxa" w:w="1728"/>
          </w:tcPr>
          <w:p>
            <w:r>
              <w:rPr>
                <w:rFonts w:ascii="Calibri" w:hAnsi="Calibri"/>
                <w:sz w:val="22"/>
              </w:rPr>
              <w:t>Q2 2026 Capital Expenditures (standalone)</w:t>
            </w:r>
          </w:p>
        </w:tc>
        <w:tc>
          <w:tcPr>
            <w:tcW w:type="dxa" w:w="1728"/>
          </w:tcPr>
          <w:p>
            <w:r>
              <w:rPr>
                <w:rFonts w:ascii="Calibri" w:hAnsi="Calibri"/>
                <w:sz w:val="22"/>
              </w:rPr>
              <w:t>$875–$925M</w:t>
            </w:r>
          </w:p>
        </w:tc>
        <w:tc>
          <w:tcPr>
            <w:tcW w:type="dxa" w:w="1728"/>
          </w:tcPr>
          <w:p>
            <w:r>
              <w:rPr>
                <w:rFonts w:ascii="Calibri" w:hAnsi="Calibri"/>
                <w:sz w:val="22"/>
              </w:rPr>
              <w:t>—</w:t>
            </w:r>
          </w:p>
        </w:tc>
        <w:tc>
          <w:tcPr>
            <w:tcW w:type="dxa" w:w="1728"/>
          </w:tcPr>
          <w:p>
            <w:r>
              <w:rPr>
                <w:rFonts w:ascii="Calibri" w:hAnsi="Calibri"/>
                <w:sz w:val="22"/>
              </w:rPr>
              <w:t>~$1,245M (combined)</w:t>
            </w:r>
          </w:p>
        </w:tc>
        <w:tc>
          <w:tcPr>
            <w:tcW w:type="dxa" w:w="1728"/>
          </w:tcPr>
          <w:p>
            <w:r>
              <w:rPr>
                <w:rFonts w:ascii="Calibri" w:hAnsi="Calibri"/>
                <w:sz w:val="22"/>
              </w:rPr>
              <w:t>Standalone only; combined capex guidance deferred. Consensus reflects Coterra capex additive.</w:t>
            </w:r>
          </w:p>
        </w:tc>
      </w:tr>
      <w:tr>
        <w:tc>
          <w:tcPr>
            <w:tcW w:type="dxa" w:w="1728"/>
          </w:tcPr>
          <w:p>
            <w:r>
              <w:rPr>
                <w:rFonts w:ascii="Calibri" w:hAnsi="Calibri"/>
                <w:sz w:val="22"/>
              </w:rPr>
              <w:t>Q2 2026 LOE + GP&amp;T per BOE</w:t>
            </w:r>
          </w:p>
        </w:tc>
        <w:tc>
          <w:tcPr>
            <w:tcW w:type="dxa" w:w="1728"/>
          </w:tcPr>
          <w:p>
            <w:r>
              <w:rPr>
                <w:rFonts w:ascii="Calibri" w:hAnsi="Calibri"/>
                <w:sz w:val="22"/>
              </w:rPr>
              <w:t>$8.30–$8.70/BOE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Standalone guidance; combined cost structure to be disclosed at Q2 print.</w:t>
            </w:r>
          </w:p>
        </w:tc>
      </w:tr>
      <w:tr>
        <w:tc>
          <w:tcPr>
            <w:tcW w:type="dxa" w:w="1728"/>
          </w:tcPr>
          <w:p>
            <w:r>
              <w:rPr>
                <w:rFonts w:ascii="Calibri" w:hAnsi="Calibri"/>
                <w:sz w:val="22"/>
              </w:rPr>
              <w:t>Q2 2026 Current Income Tax Rate</w:t>
            </w:r>
          </w:p>
        </w:tc>
        <w:tc>
          <w:tcPr>
            <w:tcW w:type="dxa" w:w="1728"/>
          </w:tcPr>
          <w:p>
            <w:r>
              <w:rPr>
                <w:rFonts w:ascii="Calibri" w:hAnsi="Calibri"/>
                <w:sz w:val="22"/>
              </w:rPr>
              <w:t>15%–17% (current); ~22% total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Q1 benefited from ~$218M one-time tax benefit (One Big Beautiful Bill Act); Q2 reflects normalized run-rate. Key EPS swing factor.</w:t>
            </w:r>
          </w:p>
        </w:tc>
      </w:tr>
      <w:tr>
        <w:tc>
          <w:tcPr>
            <w:tcW w:type="dxa" w:w="1728"/>
          </w:tcPr>
          <w:p>
            <w:r>
              <w:rPr>
                <w:rFonts w:ascii="Calibri" w:hAnsi="Calibri"/>
                <w:sz w:val="22"/>
              </w:rPr>
              <w:t>Dividend (Q2 2026)</w:t>
            </w:r>
          </w:p>
        </w:tc>
        <w:tc>
          <w:tcPr>
            <w:tcW w:type="dxa" w:w="1728"/>
          </w:tcPr>
          <w:p>
            <w:r>
              <w:rPr>
                <w:rFonts w:ascii="Calibri" w:hAnsi="Calibri"/>
                <w:sz w:val="22"/>
              </w:rPr>
              <w:t>$0.315/share (&gt;30% increase per share, subject to Board approval)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Announced at Q1 call; subject to formal Board approval post-merger close (May 7, 2026).</w:t>
            </w:r>
          </w:p>
        </w:tc>
      </w:tr>
      <w:tr>
        <w:tc>
          <w:tcPr>
            <w:tcW w:type="dxa" w:w="1728"/>
          </w:tcPr>
          <w:p>
            <w:r>
              <w:rPr>
                <w:rFonts w:ascii="Calibri" w:hAnsi="Calibri"/>
                <w:sz w:val="22"/>
              </w:rPr>
              <w:t>Share Repurchase Authorization</w:t>
            </w:r>
          </w:p>
        </w:tc>
        <w:tc>
          <w:tcPr>
            <w:tcW w:type="dxa" w:w="1728"/>
          </w:tcPr>
          <w:p>
            <w:r>
              <w:rPr>
                <w:rFonts w:ascii="Calibri" w:hAnsi="Calibri"/>
                <w:sz w:val="22"/>
              </w:rPr>
              <w:t>&gt;$5B new authorization (subject to Board approval post-close)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Repurchases paused between deal announcement and close; expected to resume immediately post-close (May 7, 2026).</w:t>
            </w:r>
          </w:p>
        </w:tc>
      </w:tr>
      <w:tr>
        <w:tc>
          <w:tcPr>
            <w:tcW w:type="dxa" w:w="1728"/>
          </w:tcPr>
          <w:p>
            <w:r>
              <w:rPr>
                <w:rFonts w:ascii="Calibri" w:hAnsi="Calibri"/>
                <w:sz w:val="22"/>
              </w:rPr>
              <w:t>Synergy Target (Combined Entity)</w:t>
            </w:r>
          </w:p>
        </w:tc>
        <w:tc>
          <w:tcPr>
            <w:tcW w:type="dxa" w:w="1728"/>
          </w:tcPr>
          <w:p>
            <w:r>
              <w:rPr>
                <w:rFonts w:ascii="Calibri" w:hAnsi="Calibri"/>
                <w:sz w:val="22"/>
              </w:rPr>
              <w:t>$1B annual synergies — characterized as a floor, not a ceiling; 156 distinct opportunities identified pre-close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Tone more confident; management explicitly called $1B the floor. Ramp to $1B annually by year-end 2027.</w:t>
            </w:r>
          </w:p>
        </w:tc>
      </w:tr>
      <w:tr>
        <w:tc>
          <w:tcPr>
            <w:tcW w:type="dxa" w:w="1728"/>
          </w:tcPr>
          <w:p>
            <w:r>
              <w:rPr>
                <w:rFonts w:ascii="Calibri" w:hAnsi="Calibri"/>
                <w:sz w:val="22"/>
              </w:rPr>
              <w:t>Full-Year 2026 Combined Guidance</w:t>
            </w:r>
          </w:p>
        </w:tc>
        <w:tc>
          <w:tcPr>
            <w:tcW w:type="dxa" w:w="1728"/>
          </w:tcPr>
          <w:p>
            <w:r>
              <w:rPr>
                <w:rFonts w:ascii="Calibri" w:hAnsi="Calibri"/>
                <w:sz w:val="22"/>
              </w:rPr>
              <w:t>Deferred to mid-June 2026</w:t>
            </w:r>
          </w:p>
        </w:tc>
        <w:tc>
          <w:tcPr>
            <w:tcW w:type="dxa" w:w="1728"/>
          </w:tcPr>
          <w:p>
            <w:r>
              <w:rPr>
                <w:rFonts w:ascii="Calibri" w:hAnsi="Calibri"/>
                <w:sz w:val="22"/>
              </w:rPr>
              <w:t>—</w:t>
            </w:r>
          </w:p>
        </w:tc>
        <w:tc>
          <w:tcPr>
            <w:tcW w:type="dxa" w:w="1728"/>
          </w:tcPr>
          <w:p>
            <w:r>
              <w:rPr>
                <w:rFonts w:ascii="Calibri" w:hAnsi="Calibri"/>
                <w:sz w:val="22"/>
              </w:rPr>
              <w:t>FY2026 consensus: ~$4.86 EPS; ~$497.5 Mbpd oil; ~$5.26B capex; ~$5.87B FCF</w:t>
            </w:r>
          </w:p>
        </w:tc>
        <w:tc>
          <w:tcPr>
            <w:tcW w:type="dxa" w:w="1728"/>
          </w:tcPr>
          <w:p>
            <w:r>
              <w:rPr>
                <w:rFonts w:ascii="Calibri" w:hAnsi="Calibri"/>
                <w:sz w:val="22"/>
              </w:rPr>
              <w:t>Combined guidance expected to be formally issued at or around Q2 print; key re-rating catalyst.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EPS estimates for Q2 2026 have drifted modestly lower since the Q1 print (from ~$1.48 to ~$1.46), while oil production estimates have moved sharply higher to reflect Coterra consolidation; FY2026 EPS estimates have risen ~3.4% since the post-Q1 baseline, suggesting the street is incrementally more constructive on the combined entity's earnings power.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5/12/26)</w:t>
            </w:r>
          </w:p>
        </w:tc>
        <w:tc>
          <w:tcPr>
            <w:tcW w:type="dxa" w:w="1080"/>
            <w:shd w:val="clear" w:color="auto" w:fill="3B4259"/>
          </w:tcPr>
          <w:p>
            <w:r>
              <w:rPr>
                <w:rFonts w:ascii="Calibri" w:hAnsi="Calibri"/>
                <w:b/>
                <w:color w:val="FFFFFF"/>
                <w:sz w:val="22"/>
              </w:rPr>
              <w:t>Current Consensus (as of 8/3/26)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$1.48</w:t>
            </w:r>
          </w:p>
        </w:tc>
        <w:tc>
          <w:tcPr>
            <w:tcW w:type="dxa" w:w="1080"/>
          </w:tcPr>
          <w:p>
            <w:r>
              <w:rPr>
                <w:rFonts w:ascii="Calibri" w:hAnsi="Calibri"/>
                <w:sz w:val="22"/>
              </w:rPr>
              <w:t>$1.46</w:t>
            </w:r>
          </w:p>
        </w:tc>
        <w:tc>
          <w:tcPr>
            <w:tcW w:type="dxa" w:w="1080"/>
          </w:tcPr>
          <w:p>
            <w:r>
              <w:rPr>
                <w:rFonts w:ascii="Calibri" w:hAnsi="Calibri"/>
                <w:sz w:val="22"/>
              </w:rPr>
              <w:t>-1.4%</w:t>
            </w:r>
          </w:p>
        </w:tc>
        <w:tc>
          <w:tcPr>
            <w:tcW w:type="dxa" w:w="1080"/>
          </w:tcPr>
          <w:p>
            <w:r>
              <w:rPr>
                <w:rFonts w:ascii="Calibri" w:hAnsi="Calibri"/>
                <w:sz w:val="22"/>
              </w:rPr>
              <w:t>N/A (combined entity)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$4.70</w:t>
            </w:r>
          </w:p>
        </w:tc>
        <w:tc>
          <w:tcPr>
            <w:tcW w:type="dxa" w:w="1080"/>
          </w:tcPr>
          <w:p>
            <w:r>
              <w:rPr>
                <w:rFonts w:ascii="Calibri" w:hAnsi="Calibri"/>
                <w:sz w:val="22"/>
              </w:rPr>
              <w:t>$4.86</w:t>
            </w:r>
          </w:p>
        </w:tc>
        <w:tc>
          <w:tcPr>
            <w:tcW w:type="dxa" w:w="1080"/>
          </w:tcPr>
          <w:p>
            <w:r>
              <w:rPr>
                <w:rFonts w:ascii="Calibri" w:hAnsi="Calibri"/>
                <w:sz w:val="22"/>
              </w:rPr>
              <w:t>+3.4%</w:t>
            </w:r>
          </w:p>
        </w:tc>
        <w:tc>
          <w:tcPr>
            <w:tcW w:type="dxa" w:w="1080"/>
          </w:tcPr>
          <w:p>
            <w:r>
              <w:rPr>
                <w:rFonts w:ascii="Calibri" w:hAnsi="Calibri"/>
                <w:sz w:val="22"/>
              </w:rPr>
              <w:t>N/A (combined entity)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Oil Production — Q2 2026 (Mbpd)</w:t>
            </w:r>
          </w:p>
        </w:tc>
        <w:tc>
          <w:tcPr>
            <w:tcW w:type="dxa" w:w="1080"/>
          </w:tcPr>
          <w:p>
            <w:r>
              <w:rPr>
                <w:rFonts w:ascii="Calibri" w:hAnsi="Calibri"/>
                <w:sz w:val="22"/>
              </w:rPr>
              <w:t>~463 Mbpd</w:t>
            </w:r>
          </w:p>
        </w:tc>
        <w:tc>
          <w:tcPr>
            <w:tcW w:type="dxa" w:w="1080"/>
          </w:tcPr>
          <w:p>
            <w:r>
              <w:rPr>
                <w:rFonts w:ascii="Calibri" w:hAnsi="Calibri"/>
                <w:sz w:val="22"/>
              </w:rPr>
              <w:t>~491 Mbpd</w:t>
            </w:r>
          </w:p>
        </w:tc>
        <w:tc>
          <w:tcPr>
            <w:tcW w:type="dxa" w:w="1080"/>
          </w:tcPr>
          <w:p>
            <w:r>
              <w:rPr>
                <w:rFonts w:ascii="Calibri" w:hAnsi="Calibri"/>
                <w:sz w:val="22"/>
              </w:rPr>
              <w:t>+6.0%</w:t>
            </w:r>
          </w:p>
        </w:tc>
        <w:tc>
          <w:tcPr>
            <w:tcW w:type="dxa" w:w="1080"/>
          </w:tcPr>
          <w:p>
            <w:r>
              <w:rPr>
                <w:rFonts w:ascii="Calibri" w:hAnsi="Calibri"/>
                <w:sz w:val="22"/>
              </w:rPr>
              <w:t>389–395 Mbpd (standalone)</w:t>
            </w:r>
          </w:p>
        </w:tc>
        <w:tc>
          <w:tcPr>
            <w:tcW w:type="dxa" w:w="1080"/>
          </w:tcPr>
          <w:p>
            <w:r>
              <w:rPr>
                <w:rFonts w:ascii="Calibri" w:hAnsi="Calibri"/>
                <w:sz w:val="22"/>
              </w:rPr>
              <w:t>Unchanged (standalone)</w:t>
            </w:r>
          </w:p>
        </w:tc>
        <w:tc>
          <w:tcPr>
            <w:tcW w:type="dxa" w:w="1080"/>
          </w:tcPr>
          <w:p>
            <w:r>
              <w:rPr>
                <w:rFonts w:ascii="Calibri" w:hAnsi="Calibri"/>
                <w:sz w:val="22"/>
              </w:rPr>
              <w:t>Unchanged</w:t>
            </w:r>
          </w:p>
        </w:tc>
        <w:tc>
          <w:tcPr>
            <w:tcW w:type="dxa" w:w="1080"/>
          </w:tcPr>
          <w:p>
            <w:r>
              <w:rPr>
                <w:rFonts w:ascii="Calibri" w:hAnsi="Calibri"/>
                <w:sz w:val="22"/>
              </w:rPr>
              <w:t>~+25% above standalone midpoint (Coterra additive)</w:t>
            </w:r>
          </w:p>
        </w:tc>
      </w:tr>
      <w:tr>
        <w:tc>
          <w:tcPr>
            <w:tcW w:type="dxa" w:w="1080"/>
          </w:tcPr>
          <w:p>
            <w:r>
              <w:rPr>
                <w:rFonts w:ascii="Calibri" w:hAnsi="Calibri"/>
                <w:sz w:val="22"/>
              </w:rPr>
              <w:t>Total Oil Production — FY2026 (Mbpd)</w:t>
            </w:r>
          </w:p>
        </w:tc>
        <w:tc>
          <w:tcPr>
            <w:tcW w:type="dxa" w:w="1080"/>
          </w:tcPr>
          <w:p>
            <w:r>
              <w:rPr>
                <w:rFonts w:ascii="Calibri" w:hAnsi="Calibri"/>
                <w:sz w:val="22"/>
              </w:rPr>
              <w:t>~483 Mbpd</w:t>
            </w:r>
          </w:p>
        </w:tc>
        <w:tc>
          <w:tcPr>
            <w:tcW w:type="dxa" w:w="1080"/>
          </w:tcPr>
          <w:p>
            <w:r>
              <w:rPr>
                <w:rFonts w:ascii="Calibri" w:hAnsi="Calibri"/>
                <w:sz w:val="22"/>
              </w:rPr>
              <w:t>~498 Mbpd</w:t>
            </w:r>
          </w:p>
        </w:tc>
        <w:tc>
          <w:tcPr>
            <w:tcW w:type="dxa" w:w="1080"/>
          </w:tcPr>
          <w:p>
            <w:r>
              <w:rPr>
                <w:rFonts w:ascii="Calibri" w:hAnsi="Calibri"/>
                <w:sz w:val="22"/>
              </w:rPr>
              <w:t>+3.1%</w:t>
            </w:r>
          </w:p>
        </w:tc>
        <w:tc>
          <w:tcPr>
            <w:tcW w:type="dxa" w:w="1080"/>
          </w:tcPr>
          <w:p>
            <w:r>
              <w:rPr>
                <w:rFonts w:ascii="Calibri" w:hAnsi="Calibri"/>
                <w:sz w:val="22"/>
              </w:rPr>
              <w:t>N/A (combined entity)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Capital Expenditures — Q2 2026 ($M)</w:t>
            </w:r>
          </w:p>
        </w:tc>
        <w:tc>
          <w:tcPr>
            <w:tcW w:type="dxa" w:w="1080"/>
          </w:tcPr>
          <w:p>
            <w:r>
              <w:rPr>
                <w:rFonts w:ascii="Calibri" w:hAnsi="Calibri"/>
                <w:sz w:val="22"/>
              </w:rPr>
              <w:t>~$1,153M</w:t>
            </w:r>
          </w:p>
        </w:tc>
        <w:tc>
          <w:tcPr>
            <w:tcW w:type="dxa" w:w="1080"/>
          </w:tcPr>
          <w:p>
            <w:r>
              <w:rPr>
                <w:rFonts w:ascii="Calibri" w:hAnsi="Calibri"/>
                <w:sz w:val="22"/>
              </w:rPr>
              <w:t>~$1,245M</w:t>
            </w:r>
          </w:p>
        </w:tc>
        <w:tc>
          <w:tcPr>
            <w:tcW w:type="dxa" w:w="1080"/>
          </w:tcPr>
          <w:p>
            <w:r>
              <w:rPr>
                <w:rFonts w:ascii="Calibri" w:hAnsi="Calibri"/>
                <w:sz w:val="22"/>
              </w:rPr>
              <w:t>+8.0%</w:t>
            </w:r>
          </w:p>
        </w:tc>
        <w:tc>
          <w:tcPr>
            <w:tcW w:type="dxa" w:w="1080"/>
          </w:tcPr>
          <w:p>
            <w:r>
              <w:rPr>
                <w:rFonts w:ascii="Calibri" w:hAnsi="Calibri"/>
                <w:sz w:val="22"/>
              </w:rPr>
              <w:t>$875–$925M (standalone)</w:t>
            </w:r>
          </w:p>
        </w:tc>
        <w:tc>
          <w:tcPr>
            <w:tcW w:type="dxa" w:w="1080"/>
          </w:tcPr>
          <w:p>
            <w:r>
              <w:rPr>
                <w:rFonts w:ascii="Calibri" w:hAnsi="Calibri"/>
                <w:sz w:val="22"/>
              </w:rPr>
              <w:t>Unchanged (standalone)</w:t>
            </w:r>
          </w:p>
        </w:tc>
        <w:tc>
          <w:tcPr>
            <w:tcW w:type="dxa" w:w="1080"/>
          </w:tcPr>
          <w:p>
            <w:r>
              <w:rPr>
                <w:rFonts w:ascii="Calibri" w:hAnsi="Calibri"/>
                <w:sz w:val="22"/>
              </w:rPr>
              <w:t>Unchanged</w:t>
            </w:r>
          </w:p>
        </w:tc>
        <w:tc>
          <w:tcPr>
            <w:tcW w:type="dxa" w:w="1080"/>
          </w:tcPr>
          <w:p>
            <w:r>
              <w:rPr>
                <w:rFonts w:ascii="Calibri" w:hAnsi="Calibri"/>
                <w:sz w:val="22"/>
              </w:rPr>
              <w:t>~+35% above standalone midpoint (Coterra additive)</w:t>
            </w:r>
          </w:p>
        </w:tc>
      </w:tr>
      <w:tr>
        <w:tc>
          <w:tcPr>
            <w:tcW w:type="dxa" w:w="1080"/>
          </w:tcPr>
          <w:p>
            <w:r>
              <w:rPr>
                <w:rFonts w:ascii="Calibri" w:hAnsi="Calibri"/>
                <w:sz w:val="22"/>
              </w:rPr>
              <w:t>Free Cash Flow — Q2 2026 ($M)</w:t>
            </w:r>
          </w:p>
        </w:tc>
        <w:tc>
          <w:tcPr>
            <w:tcW w:type="dxa" w:w="1080"/>
          </w:tcPr>
          <w:p>
            <w:r>
              <w:rPr>
                <w:rFonts w:ascii="Calibri" w:hAnsi="Calibri"/>
                <w:sz w:val="22"/>
              </w:rPr>
              <w:t>~$1,396M</w:t>
            </w:r>
          </w:p>
        </w:tc>
        <w:tc>
          <w:tcPr>
            <w:tcW w:type="dxa" w:w="1080"/>
          </w:tcPr>
          <w:p>
            <w:r>
              <w:rPr>
                <w:rFonts w:ascii="Calibri" w:hAnsi="Calibri"/>
                <w:sz w:val="22"/>
              </w:rPr>
              <w:t>~$1,345M</w:t>
            </w:r>
          </w:p>
        </w:tc>
        <w:tc>
          <w:tcPr>
            <w:tcW w:type="dxa" w:w="1080"/>
          </w:tcPr>
          <w:p>
            <w:r>
              <w:rPr>
                <w:rFonts w:ascii="Calibri" w:hAnsi="Calibri"/>
                <w:sz w:val="22"/>
              </w:rPr>
              <w:t>-3.7%</w:t>
            </w:r>
          </w:p>
        </w:tc>
        <w:tc>
          <w:tcPr>
            <w:tcW w:type="dxa" w:w="1080"/>
          </w:tcPr>
          <w:p>
            <w:r>
              <w:rPr>
                <w:rFonts w:ascii="Calibri" w:hAnsi="Calibri"/>
                <w:sz w:val="22"/>
              </w:rPr>
              <w:t>N/A (combined entity)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Free Cash Flow — FY2026 ($M)</w:t>
            </w:r>
          </w:p>
        </w:tc>
        <w:tc>
          <w:tcPr>
            <w:tcW w:type="dxa" w:w="1080"/>
          </w:tcPr>
          <w:p>
            <w:r>
              <w:rPr>
                <w:rFonts w:ascii="Calibri" w:hAnsi="Calibri"/>
                <w:sz w:val="22"/>
              </w:rPr>
              <w:t>~$6,373M</w:t>
            </w:r>
          </w:p>
        </w:tc>
        <w:tc>
          <w:tcPr>
            <w:tcW w:type="dxa" w:w="1080"/>
          </w:tcPr>
          <w:p>
            <w:r>
              <w:rPr>
                <w:rFonts w:ascii="Calibri" w:hAnsi="Calibri"/>
                <w:sz w:val="22"/>
              </w:rPr>
              <w:t>~$5,875M</w:t>
            </w:r>
          </w:p>
        </w:tc>
        <w:tc>
          <w:tcPr>
            <w:tcW w:type="dxa" w:w="1080"/>
          </w:tcPr>
          <w:p>
            <w:r>
              <w:rPr>
                <w:rFonts w:ascii="Calibri" w:hAnsi="Calibri"/>
                <w:sz w:val="22"/>
              </w:rPr>
              <w:t>-7.8%</w:t>
            </w:r>
          </w:p>
        </w:tc>
        <w:tc>
          <w:tcPr>
            <w:tcW w:type="dxa" w:w="1080"/>
          </w:tcPr>
          <w:p>
            <w:r>
              <w:rPr>
                <w:rFonts w:ascii="Calibri" w:hAnsi="Calibri"/>
                <w:sz w:val="22"/>
              </w:rPr>
              <w:t>N/A (combined entity)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b/>
          <w:color w:val="525866"/>
          <w:sz w:val="22"/>
        </w:rPr>
        <w:t xml:space="preserve">Source: </w:t>
      </w:r>
      <w:r>
        <w:rPr>
          <w:rFonts w:ascii="Calibri" w:hAnsi="Calibri"/>
          <w:color w:val="525866"/>
          <w:sz w:val="22"/>
        </w:rPr>
        <w:t>Visible Alpha Consensus and Actuals Data (EPS: https://insights.visiblealpha.com/mex/DVN_US/NMV/IS; Oil Production: https://insights.visiblealpha.com/mex/DVN_US/NMV/CO; CapEx &amp; FCF: https://insights.visiblealpha.com/mex/DVN_US/NMV/CF). As-of date 5/12/26 used as the post-Q1 baseline (5 trading days after May 5, 2026 release). Note: Because DVN closed the Coterra merger on May 7, 2026, the combined-entity consensus reflects a structurally larger company; guidance comparisons to standalone Q2 figures are directional only. FY2026 FCF estimates have drifted lower since the post-Q1 baseline, likely reflecting higher combined capex and integration costs, partially offset by stronger oil prices.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DVN has significantly underperformed XLE since the Q1 print, declining ~12.6% vs. XLE roughly flat (+≈0.6%) and SPY +4.7%, suggesting the market has been skeptical of the merger integration story and has not yet re-rated the combined entity despite a materially stronger commodity backdrop; the underperformance is multiple-driven (EV/EBITDA compressed from ~4.82x to ~3.79x over 6 months) rather than earnings-driven, creating a potential catch-up opportunity if Q2 guidance is credible.</w:t>
      </w:r>
    </w:p>
    <w:p>
      <w:r>
        <w:rPr>
          <w:rFonts w:ascii="Calibri" w:hAnsi="Calibri"/>
          <w:b/>
          <w:color w:val="525866"/>
          <w:sz w:val="22"/>
        </w:rPr>
        <w:t>Chart: DVN vs. XLE vs. S&amp;P 500 — Indexed to 100 at May 5,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DVN (Indexed)</w:t>
            </w:r>
          </w:p>
        </w:tc>
        <w:tc>
          <w:tcPr>
            <w:tcW w:type="dxa" w:w="2160"/>
            <w:shd w:val="clear" w:color="auto" w:fill="3B4259"/>
          </w:tcPr>
          <w:p>
            <w:r>
              <w:rPr>
                <w:rFonts w:ascii="Calibri" w:hAnsi="Calibri"/>
                <w:b/>
                <w:color w:val="FFFFFF"/>
                <w:sz w:val="22"/>
              </w:rPr>
              <w:t>XLE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5,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6, 2026 (Day after Q1 print)</w:t>
            </w:r>
          </w:p>
        </w:tc>
        <w:tc>
          <w:tcPr>
            <w:tcW w:type="dxa" w:w="2160"/>
          </w:tcPr>
          <w:p>
            <w:r>
              <w:rPr>
                <w:rFonts w:ascii="Calibri" w:hAnsi="Calibri"/>
                <w:sz w:val="22"/>
              </w:rPr>
              <w:t>91.4</w:t>
            </w:r>
          </w:p>
        </w:tc>
        <w:tc>
          <w:tcPr>
            <w:tcW w:type="dxa" w:w="2160"/>
          </w:tcPr>
          <w:p>
            <w:r>
              <w:rPr>
                <w:rFonts w:ascii="Calibri" w:hAnsi="Calibri"/>
                <w:sz w:val="22"/>
              </w:rPr>
              <w:t>95.9</w:t>
            </w:r>
          </w:p>
        </w:tc>
        <w:tc>
          <w:tcPr>
            <w:tcW w:type="dxa" w:w="2160"/>
          </w:tcPr>
          <w:p>
            <w:r>
              <w:rPr>
                <w:rFonts w:ascii="Calibri" w:hAnsi="Calibri"/>
                <w:sz w:val="22"/>
              </w:rPr>
              <w:t>101.4</w:t>
            </w:r>
          </w:p>
        </w:tc>
      </w:tr>
      <w:tr>
        <w:tc>
          <w:tcPr>
            <w:tcW w:type="dxa" w:w="2160"/>
          </w:tcPr>
          <w:p>
            <w:r>
              <w:rPr>
                <w:rFonts w:ascii="Calibri" w:hAnsi="Calibri"/>
                <w:sz w:val="22"/>
              </w:rPr>
              <w:t>May 15, 2026</w:t>
            </w:r>
          </w:p>
        </w:tc>
        <w:tc>
          <w:tcPr>
            <w:tcW w:type="dxa" w:w="2160"/>
          </w:tcPr>
          <w:p>
            <w:r>
              <w:rPr>
                <w:rFonts w:ascii="Calibri" w:hAnsi="Calibri"/>
                <w:sz w:val="22"/>
              </w:rPr>
              <w:t>97.1</w:t>
            </w:r>
          </w:p>
        </w:tc>
        <w:tc>
          <w:tcPr>
            <w:tcW w:type="dxa" w:w="2160"/>
          </w:tcPr>
          <w:p>
            <w:r>
              <w:rPr>
                <w:rFonts w:ascii="Calibri" w:hAnsi="Calibri"/>
                <w:sz w:val="22"/>
              </w:rPr>
              <w:t>100.0</w:t>
            </w:r>
          </w:p>
        </w:tc>
        <w:tc>
          <w:tcPr>
            <w:tcW w:type="dxa" w:w="2160"/>
          </w:tcPr>
          <w:p>
            <w:r>
              <w:rPr>
                <w:rFonts w:ascii="Calibri" w:hAnsi="Calibri"/>
                <w:sz w:val="22"/>
              </w:rPr>
              <w:t>102.1</w:t>
            </w:r>
          </w:p>
        </w:tc>
      </w:tr>
      <w:tr>
        <w:tc>
          <w:tcPr>
            <w:tcW w:type="dxa" w:w="2160"/>
          </w:tcPr>
          <w:p>
            <w:r>
              <w:rPr>
                <w:rFonts w:ascii="Calibri" w:hAnsi="Calibri"/>
                <w:sz w:val="22"/>
              </w:rPr>
              <w:t>Jun 1, 2026</w:t>
            </w:r>
          </w:p>
        </w:tc>
        <w:tc>
          <w:tcPr>
            <w:tcW w:type="dxa" w:w="2160"/>
          </w:tcPr>
          <w:p>
            <w:r>
              <w:rPr>
                <w:rFonts w:ascii="Calibri" w:hAnsi="Calibri"/>
                <w:sz w:val="22"/>
              </w:rPr>
              <w:t>90.8</w:t>
            </w:r>
          </w:p>
        </w:tc>
        <w:tc>
          <w:tcPr>
            <w:tcW w:type="dxa" w:w="2160"/>
          </w:tcPr>
          <w:p>
            <w:r>
              <w:rPr>
                <w:rFonts w:ascii="Calibri" w:hAnsi="Calibri"/>
                <w:sz w:val="22"/>
              </w:rPr>
              <w:t>96.4</w:t>
            </w:r>
          </w:p>
        </w:tc>
        <w:tc>
          <w:tcPr>
            <w:tcW w:type="dxa" w:w="2160"/>
          </w:tcPr>
          <w:p>
            <w:r>
              <w:rPr>
                <w:rFonts w:ascii="Calibri" w:hAnsi="Calibri"/>
                <w:sz w:val="22"/>
              </w:rPr>
              <w:t>104.8</w:t>
            </w:r>
          </w:p>
        </w:tc>
      </w:tr>
      <w:tr>
        <w:tc>
          <w:tcPr>
            <w:tcW w:type="dxa" w:w="2160"/>
          </w:tcPr>
          <w:p>
            <w:r>
              <w:rPr>
                <w:rFonts w:ascii="Calibri" w:hAnsi="Calibri"/>
                <w:sz w:val="22"/>
              </w:rPr>
              <w:t>Jun 16, 2026 (JP Morgan Conference)</w:t>
            </w:r>
          </w:p>
        </w:tc>
        <w:tc>
          <w:tcPr>
            <w:tcW w:type="dxa" w:w="2160"/>
          </w:tcPr>
          <w:p>
            <w:r>
              <w:rPr>
                <w:rFonts w:ascii="Calibri" w:hAnsi="Calibri"/>
                <w:sz w:val="22"/>
              </w:rPr>
              <w:t>84.1</w:t>
            </w:r>
          </w:p>
        </w:tc>
        <w:tc>
          <w:tcPr>
            <w:tcW w:type="dxa" w:w="2160"/>
          </w:tcPr>
          <w:p>
            <w:r>
              <w:rPr>
                <w:rFonts w:ascii="Calibri" w:hAnsi="Calibri"/>
                <w:sz w:val="22"/>
              </w:rPr>
              <w:t>93.1</w:t>
            </w:r>
          </w:p>
        </w:tc>
        <w:tc>
          <w:tcPr>
            <w:tcW w:type="dxa" w:w="2160"/>
          </w:tcPr>
          <w:p>
            <w:r>
              <w:rPr>
                <w:rFonts w:ascii="Calibri" w:hAnsi="Calibri"/>
                <w:sz w:val="22"/>
              </w:rPr>
              <w:t>103.7</w:t>
            </w:r>
          </w:p>
        </w:tc>
      </w:tr>
      <w:tr>
        <w:tc>
          <w:tcPr>
            <w:tcW w:type="dxa" w:w="2160"/>
          </w:tcPr>
          <w:p>
            <w:r>
              <w:rPr>
                <w:rFonts w:ascii="Calibri" w:hAnsi="Calibri"/>
                <w:sz w:val="22"/>
              </w:rPr>
              <w:t>Jun 30, 2026</w:t>
            </w:r>
          </w:p>
        </w:tc>
        <w:tc>
          <w:tcPr>
            <w:tcW w:type="dxa" w:w="2160"/>
          </w:tcPr>
          <w:p>
            <w:r>
              <w:rPr>
                <w:rFonts w:ascii="Calibri" w:hAnsi="Calibri"/>
                <w:sz w:val="22"/>
              </w:rPr>
              <w:t>81.0</w:t>
            </w:r>
          </w:p>
        </w:tc>
        <w:tc>
          <w:tcPr>
            <w:tcW w:type="dxa" w:w="2160"/>
          </w:tcPr>
          <w:p>
            <w:r>
              <w:rPr>
                <w:rFonts w:ascii="Calibri" w:hAnsi="Calibri"/>
                <w:sz w:val="22"/>
              </w:rPr>
              <w:t>89.3</w:t>
            </w:r>
          </w:p>
        </w:tc>
        <w:tc>
          <w:tcPr>
            <w:tcW w:type="dxa" w:w="2160"/>
          </w:tcPr>
          <w:p>
            <w:r>
              <w:rPr>
                <w:rFonts w:ascii="Calibri" w:hAnsi="Calibri"/>
                <w:sz w:val="22"/>
              </w:rPr>
              <w:t>103.2</w:t>
            </w:r>
          </w:p>
        </w:tc>
      </w:tr>
      <w:tr>
        <w:tc>
          <w:tcPr>
            <w:tcW w:type="dxa" w:w="2160"/>
          </w:tcPr>
          <w:p>
            <w:r>
              <w:rPr>
                <w:rFonts w:ascii="Calibri" w:hAnsi="Calibri"/>
                <w:sz w:val="22"/>
              </w:rPr>
              <w:t>Jul 7, 2026 (Iran conflict escalation)</w:t>
            </w:r>
          </w:p>
        </w:tc>
        <w:tc>
          <w:tcPr>
            <w:tcW w:type="dxa" w:w="2160"/>
          </w:tcPr>
          <w:p>
            <w:r>
              <w:rPr>
                <w:rFonts w:ascii="Calibri" w:hAnsi="Calibri"/>
                <w:sz w:val="22"/>
              </w:rPr>
              <w:t>83.2</w:t>
            </w:r>
          </w:p>
        </w:tc>
        <w:tc>
          <w:tcPr>
            <w:tcW w:type="dxa" w:w="2160"/>
          </w:tcPr>
          <w:p>
            <w:r>
              <w:rPr>
                <w:rFonts w:ascii="Calibri" w:hAnsi="Calibri"/>
                <w:sz w:val="22"/>
              </w:rPr>
              <w:t>91.9</w:t>
            </w:r>
          </w:p>
        </w:tc>
        <w:tc>
          <w:tcPr>
            <w:tcW w:type="dxa" w:w="2160"/>
          </w:tcPr>
          <w:p>
            <w:r>
              <w:rPr>
                <w:rFonts w:ascii="Calibri" w:hAnsi="Calibri"/>
                <w:sz w:val="22"/>
              </w:rPr>
              <w:t>103.3</w:t>
            </w:r>
          </w:p>
        </w:tc>
      </w:tr>
      <w:tr>
        <w:tc>
          <w:tcPr>
            <w:tcW w:type="dxa" w:w="2160"/>
          </w:tcPr>
          <w:p>
            <w:r>
              <w:rPr>
                <w:rFonts w:ascii="Calibri" w:hAnsi="Calibri"/>
                <w:sz w:val="22"/>
              </w:rPr>
              <w:t>Jul 23, 2026 (Brent &gt;$100)</w:t>
            </w:r>
          </w:p>
        </w:tc>
        <w:tc>
          <w:tcPr>
            <w:tcW w:type="dxa" w:w="2160"/>
          </w:tcPr>
          <w:p>
            <w:r>
              <w:rPr>
                <w:rFonts w:ascii="Calibri" w:hAnsi="Calibri"/>
                <w:sz w:val="22"/>
              </w:rPr>
              <w:t>88.8</w:t>
            </w:r>
          </w:p>
        </w:tc>
        <w:tc>
          <w:tcPr>
            <w:tcW w:type="dxa" w:w="2160"/>
          </w:tcPr>
          <w:p>
            <w:r>
              <w:rPr>
                <w:rFonts w:ascii="Calibri" w:hAnsi="Calibri"/>
                <w:sz w:val="22"/>
              </w:rPr>
              <w:t>99.9</w:t>
            </w:r>
          </w:p>
        </w:tc>
        <w:tc>
          <w:tcPr>
            <w:tcW w:type="dxa" w:w="2160"/>
          </w:tcPr>
          <w:p>
            <w:r>
              <w:rPr>
                <w:rFonts w:ascii="Calibri" w:hAnsi="Calibri"/>
                <w:sz w:val="22"/>
              </w:rPr>
              <w:t>102.0</w:t>
            </w:r>
          </w:p>
        </w:tc>
      </w:tr>
      <w:tr>
        <w:tc>
          <w:tcPr>
            <w:tcW w:type="dxa" w:w="2160"/>
          </w:tcPr>
          <w:p>
            <w:r>
              <w:rPr>
                <w:rFonts w:ascii="Calibri" w:hAnsi="Calibri"/>
                <w:sz w:val="22"/>
              </w:rPr>
              <w:t>Aug 4, 2026 (Latest)</w:t>
            </w:r>
          </w:p>
        </w:tc>
        <w:tc>
          <w:tcPr>
            <w:tcW w:type="dxa" w:w="2160"/>
          </w:tcPr>
          <w:p>
            <w:r>
              <w:rPr>
                <w:rFonts w:ascii="Calibri" w:hAnsi="Calibri"/>
                <w:sz w:val="22"/>
              </w:rPr>
              <w:t>87.4</w:t>
            </w:r>
          </w:p>
        </w:tc>
        <w:tc>
          <w:tcPr>
            <w:tcW w:type="dxa" w:w="2160"/>
          </w:tcPr>
          <w:p>
            <w:r>
              <w:rPr>
                <w:rFonts w:ascii="Calibri" w:hAnsi="Calibri"/>
                <w:sz w:val="22"/>
              </w:rPr>
              <w:t>98.9</w:t>
            </w:r>
          </w:p>
        </w:tc>
        <w:tc>
          <w:tcPr>
            <w:tcW w:type="dxa" w:w="2160"/>
          </w:tcPr>
          <w:p>
            <w:r>
              <w:rPr>
                <w:rFonts w:ascii="Calibri" w:hAnsi="Calibri"/>
                <w:sz w:val="22"/>
              </w:rPr>
              <w:t>104.7</w:t>
            </w:r>
          </w:p>
        </w:tc>
      </w:tr>
    </w:tbl>
    <w:p>
      <w:r>
        <w:rPr>
          <w:rFonts w:ascii="Calibri" w:hAnsi="Calibri"/>
          <w:b/>
          <w:color w:val="525866"/>
          <w:sz w:val="22"/>
        </w:rPr>
        <w:t xml:space="preserve">Source: </w:t>
      </w:r>
      <w:r>
        <w:rPr>
          <w:rFonts w:ascii="Calibri" w:hAnsi="Calibri"/>
          <w:color w:val="525866"/>
          <w:sz w:val="22"/>
        </w:rPr>
        <w:t>Yahoo Finance / Stock Price Data. Base = 100 at DVN close of $50.99 on May 5, 2026. XLE base = $59.45; SPY base = $723.77. Key events marked: Jun 16 — CEO Clay Gaspar fireside chat at JP Morgan Energy Conference; Jun 25 — $2.95B Coterra debt exchange completed; Jul 23 — Brent crude crosses $100/bbl on Houthi tanker strikes.</w:t>
      </w:r>
    </w:p>
    <w:p>
      <w:r>
        <w:rPr>
          <w:rFonts w:ascii="Calibri" w:hAnsi="Calibri"/>
          <w:b/>
          <w:color w:val="525866"/>
          <w:sz w:val="22"/>
        </w:rPr>
        <w:t xml:space="preserve">Performance Summary: </w:t>
      </w:r>
      <w:r>
        <w:rPr>
          <w:rFonts w:ascii="Calibri" w:hAnsi="Calibri"/>
          <w:color w:val="525866"/>
          <w:sz w:val="22"/>
        </w:rPr>
        <w:t>DVN -12.6% | XLE -0.6% | SPY +4.7% since last earnings (May 5 → Aug 4, 2026). DVN's underperformance vs. XLE of ~12 percentage points is notable given the strong oil price environment and reflects market skepticism on merger integration complexity and the absence of a formal combined-entity guidance framework. The 1-month performance has improved (+10.2%) as oil prices surged on Iran conflict escalation, but DVN still lags XLE on a since-earnings basis. EV/EBITDA has compressed from ~4.82x (6 months ago) to ~4.35x currently, suggesting multiple contraction has been the primary drag.</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Coterra merger close on May 7 is the defining event since last earnings, transforming DVN into a premier large-cap shale operator; the subsequent $2.95B debt exchange and shareholder meeting outcomes confirm the integration is proceeding on plan, while the Iran-driven oil price surge is a significant unplanned tailwind for Q2 results.</w:t>
      </w:r>
    </w:p>
    <w:p>
      <w:pPr>
        <w:pStyle w:val="ListBullet"/>
        <w:ind w:left="360" w:hanging="360"/>
      </w:pPr>
      <w:r>
        <w:rPr>
          <w:rFonts w:ascii="Calibri" w:hAnsi="Calibri"/>
          <w:b/>
          <w:color w:val="525866"/>
          <w:sz w:val="22"/>
        </w:rPr>
        <w:t>May 4, 2026 — Coterra Merger Shareholder Approval:</w:t>
      </w:r>
      <w:r>
        <w:rPr>
          <w:rFonts w:ascii="Calibri" w:hAnsi="Calibri"/>
          <w:color w:val="525866"/>
          <w:sz w:val="22"/>
        </w:rPr>
        <w:t xml:space="preserve"> Both Devon and Coterra shareholders voted overwhelmingly to approve the merger. Implication: Removed the last major closing condition; set the stage for the May 7 close and the formal launch of integration.</w:t>
      </w:r>
    </w:p>
    <w:p>
      <w:pPr>
        <w:pStyle w:val="ListBullet"/>
        <w:ind w:left="360" w:hanging="360"/>
      </w:pPr>
      <w:r>
        <w:rPr>
          <w:rFonts w:ascii="Calibri" w:hAnsi="Calibri"/>
          <w:b/>
          <w:color w:val="525866"/>
          <w:sz w:val="22"/>
        </w:rPr>
        <w:t>May 7, 2026 — Coterra Merger Closes:</w:t>
      </w:r>
      <w:r>
        <w:rPr>
          <w:rFonts w:ascii="Calibri" w:hAnsi="Calibri"/>
          <w:color w:val="525866"/>
          <w:sz w:val="22"/>
        </w:rPr>
        <w:t xml:space="preserve"> Devon completed the acquisition of Coterra Energy at a 0.70x DVN share exchange ratio, creating one of the largest US independent E&amp;P companies. Board expanded to 11 members (6 legacy Devon, 5 legacy Coterra); Thomas Jorden appointed non-executive Chair. Shannon Young III (former Coterra CFO) appointed EVP &amp; CFO; Jeffrey Ritenour transitions to EVP &amp; Chief Corporate Development Officer. Authorized shares increased from 1B to 2B. Implication: First combined-entity quarter is Q2 2026; all financial metrics will reflect the enlarged company for the first time.</w:t>
      </w:r>
    </w:p>
    <w:p>
      <w:pPr>
        <w:pStyle w:val="ListBullet"/>
        <w:ind w:left="360" w:hanging="360"/>
      </w:pPr>
      <w:r>
        <w:rPr>
          <w:rFonts w:ascii="Calibri" w:hAnsi="Calibri"/>
          <w:b/>
          <w:color w:val="525866"/>
          <w:sz w:val="22"/>
        </w:rPr>
        <w:t>May 7, 2026 — Authorized Share Count Doubled:</w:t>
      </w:r>
      <w:r>
        <w:rPr>
          <w:rFonts w:ascii="Calibri" w:hAnsi="Calibri"/>
          <w:color w:val="525866"/>
          <w:sz w:val="22"/>
        </w:rPr>
        <w:t xml:space="preserve"> Certificate of incorporation amended to increase authorized common shares from 1.0B to 2.0B, approved by stockholders on May 4. Implication: Provides flexibility for future equity issuances, though no specific use announced.</w:t>
      </w:r>
    </w:p>
    <w:p>
      <w:pPr>
        <w:pStyle w:val="ListBullet"/>
        <w:ind w:left="360" w:hanging="360"/>
      </w:pPr>
      <w:r>
        <w:rPr>
          <w:rFonts w:ascii="Calibri" w:hAnsi="Calibri"/>
          <w:b/>
          <w:color w:val="525866"/>
          <w:sz w:val="22"/>
        </w:rPr>
        <w:t>Jun 16, 2026 — CEO Fireside Chat at JP Morgan Energy Conference:</w:t>
      </w:r>
      <w:r>
        <w:rPr>
          <w:rFonts w:ascii="Calibri" w:hAnsi="Calibri"/>
          <w:color w:val="525866"/>
          <w:sz w:val="22"/>
        </w:rPr>
        <w:t xml:space="preserve"> CEO Clay Gaspar participated in a fireside chat at the JP Morgan Energy, Power, Renewables &amp; Mining Conference. Implication: Key opportunity for management to update the market on integration progress and combined-entity strategy; any guidance commentary from this event would be a key input for Q2 setup.</w:t>
      </w:r>
    </w:p>
    <w:p>
      <w:pPr>
        <w:pStyle w:val="ListBullet"/>
        <w:ind w:left="360" w:hanging="360"/>
      </w:pPr>
      <w:r>
        <w:rPr>
          <w:rFonts w:ascii="Calibri" w:hAnsi="Calibri"/>
          <w:b/>
          <w:color w:val="525866"/>
          <w:sz w:val="22"/>
        </w:rPr>
        <w:t>Jun 25, 2026 — $2.95 Billion Coterra Debt Exchange Completed:</w:t>
      </w:r>
      <w:r>
        <w:rPr>
          <w:rFonts w:ascii="Calibri" w:hAnsi="Calibri"/>
          <w:color w:val="525866"/>
          <w:sz w:val="22"/>
        </w:rPr>
        <w:t xml:space="preserve"> Devon completed the settlement of Coterra Energy legacy notes, exchanging ~$2.95B of Coterra-issued debt for new Devon-issued notes across five series (2027, 2029, 2034, 2035, 2055 maturities). Offering memorandum dated May 22, 2026; amended June 8, 2026. Implication: Simplifies the combined balance sheet by consolidating debt under Devon's credit umbrella; reduces counterparty complexity and improves covenant alignment. Registration rights agreement signed with Wells Fargo, BofA, and Citi as dealer managers.</w:t>
      </w:r>
    </w:p>
    <w:p>
      <w:pPr>
        <w:pStyle w:val="ListBullet"/>
        <w:ind w:left="360" w:hanging="360"/>
      </w:pPr>
      <w:r>
        <w:rPr>
          <w:rFonts w:ascii="Calibri" w:hAnsi="Calibri"/>
          <w:b/>
          <w:color w:val="525866"/>
          <w:sz w:val="22"/>
        </w:rPr>
        <w:t>Jun 30, 2026 — Annual Shareholder Meeting:</w:t>
      </w:r>
      <w:r>
        <w:rPr>
          <w:rFonts w:ascii="Calibri" w:hAnsi="Calibri"/>
          <w:color w:val="525866"/>
          <w:sz w:val="22"/>
        </w:rPr>
        <w:t xml:space="preserve"> Devon shareholders backed the Board, auditor, and executive pay at the annual meeting. Implication: Confirms shareholder alignment with the post-merger leadership team and compensation structure.</w:t>
      </w:r>
    </w:p>
    <w:p>
      <w:pPr>
        <w:pStyle w:val="ListBullet"/>
        <w:ind w:left="360" w:hanging="360"/>
      </w:pPr>
      <w:r>
        <w:rPr>
          <w:rFonts w:ascii="Calibri" w:hAnsi="Calibri"/>
          <w:b/>
          <w:color w:val="525866"/>
          <w:sz w:val="22"/>
        </w:rPr>
        <w:t>Jul 1, 2026 — Q2 2026 Earnings Date Announced:</w:t>
      </w:r>
      <w:r>
        <w:rPr>
          <w:rFonts w:ascii="Calibri" w:hAnsi="Calibri"/>
          <w:color w:val="525866"/>
          <w:sz w:val="22"/>
        </w:rPr>
        <w:t xml:space="preserve"> Devon scheduled Q2 2026 earnings release and conference call for August 5, 2026 at 11:00 AM ET. Implication: Confirms the timeline for the first combined-entity earnings disclosure.</w:t>
      </w:r>
    </w:p>
    <w:p>
      <w:pPr>
        <w:pStyle w:val="ListBullet"/>
        <w:ind w:left="360" w:hanging="360"/>
      </w:pPr>
      <w:r>
        <w:rPr>
          <w:rFonts w:ascii="Calibri" w:hAnsi="Calibri"/>
          <w:b/>
          <w:color w:val="525866"/>
          <w:sz w:val="22"/>
        </w:rPr>
        <w:t>Late June – August 2026 — Iran Conflict / Oil Price Surge:</w:t>
      </w:r>
      <w:r>
        <w:rPr>
          <w:rFonts w:ascii="Calibri" w:hAnsi="Calibri"/>
          <w:color w:val="525866"/>
          <w:sz w:val="22"/>
        </w:rPr>
        <w:t xml:space="preserve"> US-Iran military conflict (beginning February 28, 2026) has severely disrupted Strait of Hormuz shipping (vessel transits down ~66% in the week through July 20). Brent crude crossed $100/bbl on July 23 following Houthi strikes on Saudi tankers in the Red Sea. WTI averaged ~$92.85/bbl in Q2 2026 (per EOG 8-K). Brent rose ~24% in July alone. Implication: Materially positive for DVN Q2 realizations; oil at ~$93/bbl WTI vs. the ~$60–70 range underwritten at the start of the year represents a significant earnings tailwind. Waha gas prices remain a partial offset given DVN's Delaware Basin gas exposure.</w:t>
      </w:r>
    </w:p>
    <w:p>
      <w:pPr>
        <w:pStyle w:val="ListBullet"/>
        <w:ind w:left="360" w:hanging="360"/>
      </w:pPr>
      <w:r>
        <w:rPr>
          <w:rFonts w:ascii="Calibri" w:hAnsi="Calibri"/>
          <w:b/>
          <w:color w:val="525866"/>
          <w:sz w:val="22"/>
        </w:rPr>
        <w:t>Jul 28, 2026 — DVN Insider Form 144 Filing:</w:t>
      </w:r>
      <w:r>
        <w:rPr>
          <w:rFonts w:ascii="Calibri" w:hAnsi="Calibri"/>
          <w:color w:val="525866"/>
          <w:sz w:val="22"/>
        </w:rPr>
        <w:t xml:space="preserve"> Tana K. Cashion (former EVP, Human Resources — departed upon merger close) filed a Form 144 notice of intended sale of ~$1.54M in DVN shares. Implication: Departure-related; not a discretionary insider signal. See Insider Activity section.</w:t>
      </w:r>
    </w:p>
    <w:p>
      <w:pPr>
        <w:pStyle w:val="ListBullet"/>
        <w:ind w:left="360" w:hanging="360"/>
      </w:pPr>
      <w:r>
        <w:rPr>
          <w:rFonts w:ascii="Calibri" w:hAnsi="Calibri"/>
          <w:b/>
          <w:color w:val="525866"/>
          <w:sz w:val="22"/>
        </w:rPr>
        <w:t>Aug 3, 2026 — Diamondback Energy (FANG) Q2 2026 Results:</w:t>
      </w:r>
      <w:r>
        <w:rPr>
          <w:rFonts w:ascii="Calibri" w:hAnsi="Calibri"/>
          <w:color w:val="525866"/>
          <w:sz w:val="22"/>
        </w:rPr>
        <w:t xml:space="preserve"> Closest Permian peer reported strong Q2 results with oil production of 525 MBO/d (above guidance), raised full-year oil production guidance to 522+ MBO/d and total BOE to 1,000+ MBOE/d, and doubled share repurchase authorization to $16B. WTI realized $96.82/bbl unhedged. Implication: Positive read-through for DVN's Delaware Basin operations and commodity realizations. See Peer Commentary section.</w:t>
      </w:r>
    </w:p>
    <w:p>
      <w:r>
        <w:br w:type="page"/>
      </w:r>
    </w:p>
    <w:p>
      <w:pPr>
        <w:pStyle w:val="Heading2"/>
      </w:pPr>
      <w:r>
        <w:rPr>
          <w:rFonts w:ascii="Calibri" w:hAnsi="Calibri"/>
          <w:b/>
          <w:color w:val="3B4259"/>
          <w:sz w:val="28"/>
        </w:rPr>
        <w:t>7. Peer Commentary &amp; Read-Throughs (Last 60 Days — Q2 2026 Relevant Only)</w:t>
      </w:r>
    </w:p>
    <w:p>
      <w:r>
        <w:rPr>
          <w:rFonts w:ascii="Calibri" w:hAnsi="Calibri"/>
          <w:b/>
          <w:color w:val="525866"/>
          <w:sz w:val="22"/>
        </w:rPr>
        <w:t xml:space="preserve">Key Takeaway: </w:t>
      </w:r>
      <w:r>
        <w:rPr>
          <w:rFonts w:ascii="Calibri" w:hAnsi="Calibri"/>
          <w:color w:val="525866"/>
          <w:sz w:val="22"/>
        </w:rPr>
        <w:t>Peer commentary from Q2 2026 reporters is uniformly constructive for DVN: strong Permian oil production beats, surging commodity realizations on Iran-driven oil prices, and disciplined capital spending all point to a favorable setup; the key DVN-specific read-through is that Permian operators are beating production guidance while holding capex flat, which is exactly the template DVN needs to demonstrate on its first combined-entity print.</w:t>
      </w:r>
    </w:p>
    <w:p>
      <w:r>
        <w:rPr>
          <w:rFonts w:ascii="Calibri" w:hAnsi="Calibri"/>
          <w:b/>
          <w:color w:val="525866"/>
          <w:sz w:val="22"/>
        </w:rPr>
        <w:t xml:space="preserve">Note: </w:t>
      </w:r>
      <w:r>
        <w:rPr>
          <w:rFonts w:ascii="Calibri" w:hAnsi="Calibri"/>
          <w:color w:val="525866"/>
          <w:sz w:val="22"/>
        </w:rPr>
        <w:t>Only commentary from the last 60 days (June 4 – August 3, 2026) that speaks to Q2 2026 conditions or the current reporting quarter is included below. Stale peer commentary about prior-quarter results has been excluded.</w:t>
      </w:r>
    </w:p>
    <w:p>
      <w:pPr>
        <w:pStyle w:val="Heading3"/>
      </w:pPr>
      <w:r>
        <w:rPr>
          <w:rFonts w:ascii="Calibri" w:hAnsi="Calibri"/>
          <w:b/>
          <w:color w:val="3B4259"/>
          <w:sz w:val="24"/>
        </w:rPr>
        <w:t>Diamondback Energy (FANG) — Q2 2026 Results (Reported August 3, 2026)</w:t>
      </w:r>
    </w:p>
    <w:p>
      <w:r>
        <w:rPr>
          <w:rFonts w:ascii="Calibri" w:hAnsi="Calibri"/>
          <w:b/>
          <w:color w:val="525866"/>
          <w:sz w:val="22"/>
        </w:rPr>
        <w:t xml:space="preserve">Relevance to DVN: </w:t>
      </w:r>
      <w:r>
        <w:rPr>
          <w:rFonts w:ascii="Calibri" w:hAnsi="Calibri"/>
          <w:color w:val="525866"/>
          <w:sz w:val="22"/>
        </w:rPr>
        <w:t>FANG is DVN's closest Permian/Delaware Basin peer and the most direct read-through for Q2 2026 conditions.</w:t>
      </w:r>
    </w:p>
    <w:p>
      <w:pPr>
        <w:pStyle w:val="ListBullet"/>
        <w:ind w:left="360" w:hanging="360"/>
      </w:pPr>
      <w:r>
        <w:rPr>
          <w:rFonts w:ascii="Calibri" w:hAnsi="Calibri"/>
          <w:b/>
          <w:color w:val="525866"/>
          <w:sz w:val="22"/>
        </w:rPr>
        <w:t>Oil Production Beat:</w:t>
      </w:r>
      <w:r>
        <w:rPr>
          <w:rFonts w:ascii="Calibri" w:hAnsi="Calibri"/>
          <w:color w:val="525866"/>
          <w:sz w:val="22"/>
        </w:rPr>
        <w:t xml:space="preserve"> FANG reported Q2 2026 oil production of 525 MBO/d, above the top end of prior guidance, and surpassed the 1.0 MMBoe/d total production milestone. Full-year oil guidance raised to 522+ MBO/d (from 520+) and total BOE to 1,000+ MBOE/d (from 972+). </w:t>
      </w:r>
      <w:r>
        <w:rPr>
          <w:rFonts w:ascii="Calibri" w:hAnsi="Calibri"/>
          <w:b/>
          <w:color w:val="525866"/>
          <w:sz w:val="22"/>
        </w:rPr>
        <w:t xml:space="preserve">Read-through: </w:t>
      </w:r>
      <w:r>
        <w:rPr>
          <w:rFonts w:ascii="Calibri" w:hAnsi="Calibri"/>
          <w:color w:val="525866"/>
          <w:sz w:val="22"/>
        </w:rPr>
        <w:t>Permian operators are beating production guidance in Q2 despite the Iran conflict backdrop; positive signal for DVN's combined Delaware Basin volumes.</w:t>
      </w:r>
    </w:p>
    <w:p>
      <w:pPr>
        <w:pStyle w:val="ListBullet"/>
        <w:ind w:left="360" w:hanging="360"/>
      </w:pPr>
      <w:r>
        <w:rPr>
          <w:rFonts w:ascii="Calibri" w:hAnsi="Calibri"/>
          <w:b/>
          <w:color w:val="525866"/>
          <w:sz w:val="22"/>
        </w:rPr>
        <w:t>Commodity Realizations:</w:t>
      </w:r>
      <w:r>
        <w:rPr>
          <w:rFonts w:ascii="Calibri" w:hAnsi="Calibri"/>
          <w:color w:val="525866"/>
          <w:sz w:val="22"/>
        </w:rPr>
        <w:t xml:space="preserve"> FANG realized $96.82/bbl unhedged oil in Q2 2026 (hedged: $94.33/bbl). WTI averaged $92.85/bbl per EOG's 8-K. </w:t>
      </w:r>
      <w:r>
        <w:rPr>
          <w:rFonts w:ascii="Calibri" w:hAnsi="Calibri"/>
          <w:b/>
          <w:color w:val="525866"/>
          <w:sz w:val="22"/>
        </w:rPr>
        <w:t xml:space="preserve">Read-through: </w:t>
      </w:r>
      <w:r>
        <w:rPr>
          <w:rFonts w:ascii="Calibri" w:hAnsi="Calibri"/>
          <w:color w:val="525866"/>
          <w:sz w:val="22"/>
        </w:rPr>
        <w:t>DVN's oil realizations (guided at 95–99% of WTI on a standalone basis) should benefit from the same pricing environment; expect strong revenue upside vs. prior-year Q2.</w:t>
      </w:r>
    </w:p>
    <w:p>
      <w:pPr>
        <w:pStyle w:val="ListBullet"/>
        <w:ind w:left="360" w:hanging="360"/>
      </w:pPr>
      <w:r>
        <w:rPr>
          <w:rFonts w:ascii="Calibri" w:hAnsi="Calibri"/>
          <w:b/>
          <w:color w:val="525866"/>
          <w:sz w:val="22"/>
        </w:rPr>
        <w:t>Waha Gas Exposure:</w:t>
      </w:r>
      <w:r>
        <w:rPr>
          <w:rFonts w:ascii="Calibri" w:hAnsi="Calibri"/>
          <w:color w:val="525866"/>
          <w:sz w:val="22"/>
        </w:rPr>
        <w:t xml:space="preserve"> FANG had Waha basis swaps covering 650,000 MMBtu/d at -$1.87 for Q3 2026, and realized negative natural gas prices of -$2.15/Mcf unhedged in Q2. </w:t>
      </w:r>
      <w:r>
        <w:rPr>
          <w:rFonts w:ascii="Calibri" w:hAnsi="Calibri"/>
          <w:b/>
          <w:color w:val="525866"/>
          <w:sz w:val="22"/>
        </w:rPr>
        <w:t xml:space="preserve">Read-through: </w:t>
      </w:r>
      <w:r>
        <w:rPr>
          <w:rFonts w:ascii="Calibri" w:hAnsi="Calibri"/>
          <w:color w:val="525866"/>
          <w:sz w:val="22"/>
        </w:rPr>
        <w:t>Waha gas prices remain deeply negative, consistent with DVN's own Waha exposure (~10–15% of gas volumes pre-Blackcomb). This is a known headwind but manageable given DVN's hedging program (150,000 MMBtu/d Waha basis swaps at -$1.79 for Q2–Q4 2026).</w:t>
      </w:r>
    </w:p>
    <w:p>
      <w:pPr>
        <w:pStyle w:val="ListBullet"/>
        <w:ind w:left="360" w:hanging="360"/>
      </w:pPr>
      <w:r>
        <w:rPr>
          <w:rFonts w:ascii="Calibri" w:hAnsi="Calibri"/>
          <w:b/>
          <w:color w:val="525866"/>
          <w:sz w:val="22"/>
        </w:rPr>
        <w:t>Capital Discipline:</w:t>
      </w:r>
      <w:r>
        <w:rPr>
          <w:rFonts w:ascii="Calibri" w:hAnsi="Calibri"/>
          <w:color w:val="525866"/>
          <w:sz w:val="22"/>
        </w:rPr>
        <w:t xml:space="preserve"> FANG Q2 capex of $996M was in line with expectations; full-year capex guidance unchanged at ~$3.9B despite the production beat. Unit costs improved: cash G&amp;A guidance cut to $0.55–$0.65/BOE, DD&amp;A to $13.50–$14.50/BOE. </w:t>
      </w:r>
      <w:r>
        <w:rPr>
          <w:rFonts w:ascii="Calibri" w:hAnsi="Calibri"/>
          <w:b/>
          <w:color w:val="525866"/>
          <w:sz w:val="22"/>
        </w:rPr>
        <w:t xml:space="preserve">Read-through: </w:t>
      </w:r>
      <w:r>
        <w:rPr>
          <w:rFonts w:ascii="Calibri" w:hAnsi="Calibri"/>
          <w:color w:val="525866"/>
          <w:sz w:val="22"/>
        </w:rPr>
        <w:t>Permian operators are demonstrating capital efficiency gains even as production beats; supports DVN's narrative of delivering more production per dollar of capital.</w:t>
      </w:r>
    </w:p>
    <w:p>
      <w:pPr>
        <w:pStyle w:val="ListBullet"/>
        <w:ind w:left="360" w:hanging="360"/>
      </w:pPr>
      <w:r>
        <w:rPr>
          <w:rFonts w:ascii="Calibri" w:hAnsi="Calibri"/>
          <w:b/>
          <w:color w:val="525866"/>
          <w:sz w:val="22"/>
        </w:rPr>
        <w:t>Shareholder Returns:</w:t>
      </w:r>
      <w:r>
        <w:rPr>
          <w:rFonts w:ascii="Calibri" w:hAnsi="Calibri"/>
          <w:color w:val="525866"/>
          <w:sz w:val="22"/>
        </w:rPr>
        <w:t xml:space="preserve"> FANG doubled its share repurchase authorization to $16B on July 30, 2026, with ~$9.9B remaining. Base dividend of $1.10/share declared for Q2. </w:t>
      </w:r>
      <w:r>
        <w:rPr>
          <w:rFonts w:ascii="Calibri" w:hAnsi="Calibri"/>
          <w:b/>
          <w:color w:val="525866"/>
          <w:sz w:val="22"/>
        </w:rPr>
        <w:t xml:space="preserve">Read-through: </w:t>
      </w:r>
      <w:r>
        <w:rPr>
          <w:rFonts w:ascii="Calibri" w:hAnsi="Calibri"/>
          <w:color w:val="525866"/>
          <w:sz w:val="22"/>
        </w:rPr>
        <w:t>Peer is aggressively returning capital; market will expect DVN to articulate a similarly compelling combined-entity return framework at the Q2 print.</w:t>
      </w:r>
    </w:p>
    <w:p>
      <w:pPr>
        <w:pStyle w:val="ListBullet"/>
        <w:ind w:left="360" w:hanging="360"/>
      </w:pPr>
      <w:r>
        <w:rPr>
          <w:rFonts w:ascii="Calibri" w:hAnsi="Calibri"/>
          <w:b/>
          <w:color w:val="525866"/>
          <w:sz w:val="22"/>
        </w:rPr>
        <w:t>CEO Commentary on Oil Market:</w:t>
      </w:r>
      <w:r>
        <w:rPr>
          <w:rFonts w:ascii="Calibri" w:hAnsi="Calibri"/>
          <w:color w:val="525866"/>
          <w:sz w:val="22"/>
        </w:rPr>
        <w:t xml:space="preserve"> FANG CEO Kaes Van't Hof stated that "record draws from global inventories and the restocking required to rebuild global inventories have structurally raised the floor for oil prices compared to pre-conflict prices," while cautioning that "the timing of the eventual supply normalization is impossible to predict." </w:t>
      </w:r>
      <w:r>
        <w:rPr>
          <w:rFonts w:ascii="Calibri" w:hAnsi="Calibri"/>
          <w:b/>
          <w:color w:val="525866"/>
          <w:sz w:val="22"/>
        </w:rPr>
        <w:t xml:space="preserve">Read-through: </w:t>
      </w:r>
      <w:r>
        <w:rPr>
          <w:rFonts w:ascii="Calibri" w:hAnsi="Calibri"/>
          <w:color w:val="525866"/>
          <w:sz w:val="22"/>
        </w:rPr>
        <w:t>Management across the Permian is framing the Iran-driven oil price environment as structurally supportive rather than transitory, which is constructive for DVN's multi-year free cash flow outlook.</w:t>
      </w:r>
    </w:p>
    <w:p>
      <w:pPr>
        <w:pStyle w:val="Heading3"/>
      </w:pPr>
      <w:r>
        <w:rPr>
          <w:rFonts w:ascii="Calibri" w:hAnsi="Calibri"/>
          <w:b/>
          <w:color w:val="3B4259"/>
          <w:sz w:val="24"/>
        </w:rPr>
        <w:t>EOG Resources (EOG) — Q2 2026 Commodity Data (8-K, July 9, 2026)</w:t>
      </w:r>
    </w:p>
    <w:p>
      <w:r>
        <w:rPr>
          <w:rFonts w:ascii="Calibri" w:hAnsi="Calibri"/>
          <w:b/>
          <w:color w:val="525866"/>
          <w:sz w:val="22"/>
        </w:rPr>
        <w:t xml:space="preserve">Relevance to DVN: </w:t>
      </w:r>
      <w:r>
        <w:rPr>
          <w:rFonts w:ascii="Calibri" w:hAnsi="Calibri"/>
          <w:color w:val="525866"/>
          <w:sz w:val="22"/>
        </w:rPr>
        <w:t>EOG's 8-K provides the official Q2 2026 commodity price benchmarks that will anchor DVN's revenue realizations.</w:t>
      </w:r>
    </w:p>
    <w:p>
      <w:pPr>
        <w:pStyle w:val="ListBullet"/>
        <w:ind w:left="360" w:hanging="360"/>
      </w:pPr>
      <w:r>
        <w:rPr>
          <w:rFonts w:ascii="Calibri" w:hAnsi="Calibri"/>
          <w:b/>
          <w:color w:val="525866"/>
          <w:sz w:val="22"/>
        </w:rPr>
        <w:t>WTI averaged $92.85/bbl in Q2 2026</w:t>
      </w:r>
      <w:r>
        <w:rPr>
          <w:rFonts w:ascii="Calibri" w:hAnsi="Calibri"/>
          <w:color w:val="525866"/>
          <w:sz w:val="22"/>
        </w:rPr>
        <w:t xml:space="preserve"> (NYMEX); Henry Hub averaged $2.89/MMBtu. EOG received net cash of $45M from derivative settlements in Q2. </w:t>
      </w:r>
      <w:r>
        <w:rPr>
          <w:rFonts w:ascii="Calibri" w:hAnsi="Calibri"/>
          <w:b/>
          <w:color w:val="525866"/>
          <w:sz w:val="22"/>
        </w:rPr>
        <w:t xml:space="preserve">Read-through: </w:t>
      </w:r>
      <w:r>
        <w:rPr>
          <w:rFonts w:ascii="Calibri" w:hAnsi="Calibri"/>
          <w:color w:val="525866"/>
          <w:sz w:val="22"/>
        </w:rPr>
        <w:t>At DVN's guided oil realization of 95–99% of WTI, implied Q2 oil price is ~$88–92/bbl — materially above Q2 2025 levels and well above what was underwritten at the start of 2026. This is a significant revenue tailwind.</w:t>
      </w:r>
    </w:p>
    <w:p>
      <w:pPr>
        <w:pStyle w:val="ListBullet"/>
        <w:ind w:left="360" w:hanging="360"/>
      </w:pPr>
      <w:r>
        <w:rPr>
          <w:rFonts w:ascii="Calibri" w:hAnsi="Calibri"/>
          <w:b/>
          <w:color w:val="525866"/>
          <w:sz w:val="22"/>
        </w:rPr>
        <w:t>Henry Hub at $2.89/MMBtu</w:t>
      </w:r>
      <w:r>
        <w:rPr>
          <w:rFonts w:ascii="Calibri" w:hAnsi="Calibri"/>
          <w:color w:val="525866"/>
          <w:sz w:val="22"/>
        </w:rPr>
        <w:t xml:space="preserve"> is below year-ago levels, consistent with EQT's miss on natural gas earnings. </w:t>
      </w:r>
      <w:r>
        <w:rPr>
          <w:rFonts w:ascii="Calibri" w:hAnsi="Calibri"/>
          <w:b/>
          <w:color w:val="525866"/>
          <w:sz w:val="22"/>
        </w:rPr>
        <w:t xml:space="preserve">Read-through: </w:t>
      </w:r>
      <w:r>
        <w:rPr>
          <w:rFonts w:ascii="Calibri" w:hAnsi="Calibri"/>
          <w:color w:val="525866"/>
          <w:sz w:val="22"/>
        </w:rPr>
        <w:t>DVN's gas realizations (guided at 10–30% of Henry Hub) will be modest, but gas is a secondary revenue driver; the oil price tailwind dominates.</w:t>
      </w:r>
    </w:p>
    <w:p>
      <w:pPr>
        <w:pStyle w:val="Heading3"/>
      </w:pPr>
      <w:r>
        <w:rPr>
          <w:rFonts w:ascii="Calibri" w:hAnsi="Calibri"/>
          <w:b/>
          <w:color w:val="3B4259"/>
          <w:sz w:val="24"/>
        </w:rPr>
        <w:t>Occidental Petroleum (OXY) — Q2 2026 Earnings Considerations (8-K, July 10, 2026)</w:t>
      </w:r>
    </w:p>
    <w:p>
      <w:r>
        <w:rPr>
          <w:rFonts w:ascii="Calibri" w:hAnsi="Calibri"/>
          <w:b/>
          <w:color w:val="525866"/>
          <w:sz w:val="22"/>
        </w:rPr>
        <w:t xml:space="preserve">Relevance to DVN: </w:t>
      </w:r>
      <w:r>
        <w:rPr>
          <w:rFonts w:ascii="Calibri" w:hAnsi="Calibri"/>
          <w:color w:val="525866"/>
          <w:sz w:val="22"/>
        </w:rPr>
        <w:t>OXY is a major Permian peer that pre-released Q2 2026 earnings considerations, signaling the quarter's key moving parts.</w:t>
      </w:r>
    </w:p>
    <w:p>
      <w:pPr>
        <w:pStyle w:val="ListBullet"/>
        <w:ind w:left="360" w:hanging="360"/>
      </w:pPr>
      <w:r>
        <w:rPr>
          <w:rFonts w:ascii="Calibri" w:hAnsi="Calibri"/>
          <w:b/>
          <w:color w:val="525866"/>
          <w:sz w:val="22"/>
        </w:rPr>
        <w:t>OXY filed an 8-K on July 10, 2026</w:t>
      </w:r>
      <w:r>
        <w:rPr>
          <w:rFonts w:ascii="Calibri" w:hAnsi="Calibri"/>
          <w:color w:val="525866"/>
          <w:sz w:val="22"/>
        </w:rPr>
        <w:t xml:space="preserve"> providing a summary of factors management believes will impact Q2 2026 results ("Earnings Considerations"). The specific figures were in Exhibit 99.1 (not available in the filing text). </w:t>
      </w:r>
      <w:r>
        <w:rPr>
          <w:rFonts w:ascii="Calibri" w:hAnsi="Calibri"/>
          <w:b/>
          <w:color w:val="525866"/>
          <w:sz w:val="22"/>
        </w:rPr>
        <w:t xml:space="preserve">Read-through: </w:t>
      </w:r>
      <w:r>
        <w:rPr>
          <w:rFonts w:ascii="Calibri" w:hAnsi="Calibri"/>
          <w:color w:val="525866"/>
          <w:sz w:val="22"/>
        </w:rPr>
        <w:t>The fact that OXY proactively issued pre-earnings considerations suggests the quarter had notable moving parts (likely commodity price tailwinds and hedging impacts) that management wanted to frame for investors. This is consistent with the broader Permian peer picture of a strong Q2 driven by oil prices.</w:t>
      </w:r>
    </w:p>
    <w:p>
      <w:pPr>
        <w:pStyle w:val="Heading3"/>
      </w:pPr>
      <w:r>
        <w:rPr>
          <w:rFonts w:ascii="Calibri" w:hAnsi="Calibri"/>
          <w:b/>
          <w:color w:val="3B4259"/>
          <w:sz w:val="24"/>
        </w:rPr>
        <w:t>ExxonMobil (XOM) &amp; Chevron (CVX) — Q2 2026 Results (Reported July 31, 2026)</w:t>
      </w:r>
    </w:p>
    <w:p>
      <w:r>
        <w:rPr>
          <w:rFonts w:ascii="Calibri" w:hAnsi="Calibri"/>
          <w:b/>
          <w:color w:val="525866"/>
          <w:sz w:val="22"/>
        </w:rPr>
        <w:t xml:space="preserve">Relevance to DVN: </w:t>
      </w:r>
      <w:r>
        <w:rPr>
          <w:rFonts w:ascii="Calibri" w:hAnsi="Calibri"/>
          <w:color w:val="525866"/>
          <w:sz w:val="22"/>
        </w:rPr>
        <w:t>Supermajors provide the macro oil price and Permian production read-through; both reported their strongest quarters in years.</w:t>
      </w:r>
    </w:p>
    <w:p>
      <w:pPr>
        <w:pStyle w:val="ListBullet"/>
        <w:ind w:left="360" w:hanging="360"/>
      </w:pPr>
      <w:r>
        <w:rPr>
          <w:rFonts w:ascii="Calibri" w:hAnsi="Calibri"/>
          <w:b/>
          <w:color w:val="525866"/>
          <w:sz w:val="22"/>
        </w:rPr>
        <w:t>XOM Q2 2026:</w:t>
      </w:r>
      <w:r>
        <w:rPr>
          <w:rFonts w:ascii="Calibri" w:hAnsi="Calibri"/>
          <w:color w:val="525866"/>
          <w:sz w:val="22"/>
        </w:rPr>
        <w:t xml:space="preserve"> Adjusted earnings of $14.7B ($3.52/share), up 67% from Q1; Brent averaged $96.68/bbl (up 23% from Q1). Adjusted upstream earnings of $9.2B. Production slipped to 4.5 MMBoe/d from 4.6 MMBoe/d due to ~450,000 bpd offline from reduced Qatar LNG. Shares -1% on the day (slight EPS miss vs. $3.60 consensus). </w:t>
      </w:r>
      <w:r>
        <w:rPr>
          <w:rFonts w:ascii="Calibri" w:hAnsi="Calibri"/>
          <w:b/>
          <w:color w:val="525866"/>
          <w:sz w:val="22"/>
        </w:rPr>
        <w:t xml:space="preserve">Read-through: </w:t>
      </w:r>
      <w:r>
        <w:rPr>
          <w:rFonts w:ascii="Calibri" w:hAnsi="Calibri"/>
          <w:color w:val="525866"/>
          <w:sz w:val="22"/>
        </w:rPr>
        <w:t>Strong upstream earnings driven by oil prices; the slight miss was Qatar LNG-specific and not relevant to DVN's US onshore operations. Permian production growth was intact.</w:t>
      </w:r>
    </w:p>
    <w:p>
      <w:pPr>
        <w:pStyle w:val="ListBullet"/>
        <w:ind w:left="360" w:hanging="360"/>
      </w:pPr>
      <w:r>
        <w:rPr>
          <w:rFonts w:ascii="Calibri" w:hAnsi="Calibri"/>
          <w:b/>
          <w:color w:val="525866"/>
          <w:sz w:val="22"/>
        </w:rPr>
        <w:t>CVX Q2 2026:</w:t>
      </w:r>
      <w:r>
        <w:rPr>
          <w:rFonts w:ascii="Calibri" w:hAnsi="Calibri"/>
          <w:color w:val="525866"/>
          <w:sz w:val="22"/>
        </w:rPr>
        <w:t xml:space="preserve"> Adjusted EPS of $6.06 vs. consensus $5.65 (beat); record quarterly net profit of $12.1B. US production at record levels; refinery utilization above 97%. Upstream earnings approximately in-line; beat driven by Downstream. Used windfall profits to reduce debt by $8.4B. </w:t>
      </w:r>
      <w:r>
        <w:rPr>
          <w:rFonts w:ascii="Calibri" w:hAnsi="Calibri"/>
          <w:b/>
          <w:color w:val="525866"/>
          <w:sz w:val="22"/>
        </w:rPr>
        <w:t xml:space="preserve">Read-through: </w:t>
      </w:r>
      <w:r>
        <w:rPr>
          <w:rFonts w:ascii="Calibri" w:hAnsi="Calibri"/>
          <w:color w:val="525866"/>
          <w:sz w:val="22"/>
        </w:rPr>
        <w:t>Record US production and strong Permian performance are directly positive for DVN. CVX's decision to prioritize debt reduction over buyback increases in a high-price environment is a relevant capital allocation read-through for DVN's post-merger balance sheet management.</w:t>
      </w:r>
    </w:p>
    <w:p>
      <w:pPr>
        <w:pStyle w:val="ListBullet"/>
        <w:ind w:left="360" w:hanging="360"/>
      </w:pPr>
      <w:r>
        <w:rPr>
          <w:rFonts w:ascii="Calibri" w:hAnsi="Calibri"/>
          <w:b/>
          <w:color w:val="525866"/>
          <w:sz w:val="22"/>
        </w:rPr>
        <w:t>Both XOM and CVX warned</w:t>
      </w:r>
      <w:r>
        <w:rPr>
          <w:rFonts w:ascii="Calibri" w:hAnsi="Calibri"/>
          <w:color w:val="525866"/>
          <w:sz w:val="22"/>
        </w:rPr>
        <w:t xml:space="preserve"> that high fuel prices are likely to persist even if oil prices decline, citing critically short global refining capacity. </w:t>
      </w:r>
      <w:r>
        <w:rPr>
          <w:rFonts w:ascii="Calibri" w:hAnsi="Calibri"/>
          <w:b/>
          <w:color w:val="525866"/>
          <w:sz w:val="22"/>
        </w:rPr>
        <w:t xml:space="preserve">Read-through: </w:t>
      </w:r>
      <w:r>
        <w:rPr>
          <w:rFonts w:ascii="Calibri" w:hAnsi="Calibri"/>
          <w:color w:val="525866"/>
          <w:sz w:val="22"/>
        </w:rPr>
        <w:t>Supports the FANG CEO's view that the oil price floor has structurally risen; constructive for DVN's multi-year free cash flow outlook.</w:t>
      </w:r>
    </w:p>
    <w:p>
      <w:pPr>
        <w:pStyle w:val="Heading3"/>
      </w:pPr>
      <w:r>
        <w:rPr>
          <w:rFonts w:ascii="Calibri" w:hAnsi="Calibri"/>
          <w:b/>
          <w:color w:val="3B4259"/>
          <w:sz w:val="24"/>
        </w:rPr>
        <w:t>Halliburton (HAL) — Q2 2026 Results (Reported July 21, 2026)</w:t>
      </w:r>
    </w:p>
    <w:p>
      <w:r>
        <w:rPr>
          <w:rFonts w:ascii="Calibri" w:hAnsi="Calibri"/>
          <w:b/>
          <w:color w:val="525866"/>
          <w:sz w:val="22"/>
        </w:rPr>
        <w:t xml:space="preserve">Relevance to DVN: </w:t>
      </w:r>
      <w:r>
        <w:rPr>
          <w:rFonts w:ascii="Calibri" w:hAnsi="Calibri"/>
          <w:color w:val="525866"/>
          <w:sz w:val="22"/>
        </w:rPr>
        <w:t>As a major oilfield services provider, HAL's commentary on North America activity and cost trends is a read-through for DVN's drilling and completion costs.</w:t>
      </w:r>
    </w:p>
    <w:p>
      <w:pPr>
        <w:pStyle w:val="ListBullet"/>
        <w:ind w:left="360" w:hanging="360"/>
      </w:pPr>
      <w:r>
        <w:rPr>
          <w:rFonts w:ascii="Calibri" w:hAnsi="Calibri"/>
          <w:b/>
          <w:color w:val="525866"/>
          <w:sz w:val="22"/>
        </w:rPr>
        <w:t>HAL Q2 2026:</w:t>
      </w:r>
      <w:r>
        <w:rPr>
          <w:rFonts w:ascii="Calibri" w:hAnsi="Calibri"/>
          <w:color w:val="525866"/>
          <w:sz w:val="22"/>
        </w:rPr>
        <w:t xml:space="preserve"> Adjusted EPS of $0.55 vs. consensus $0.54 (in-line); revenue of $5.71B vs. $5.49B expected. Middle East/Asia sales declined 10% YoY to $1.3B due to Iran war disruptions. Stock fell ~5.7% on margin miss. </w:t>
      </w:r>
      <w:r>
        <w:rPr>
          <w:rFonts w:ascii="Calibri" w:hAnsi="Calibri"/>
          <w:b/>
          <w:color w:val="525866"/>
          <w:sz w:val="22"/>
        </w:rPr>
        <w:t xml:space="preserve">Read-through: </w:t>
      </w:r>
      <w:r>
        <w:rPr>
          <w:rFonts w:ascii="Calibri" w:hAnsi="Calibri"/>
          <w:color w:val="525866"/>
          <w:sz w:val="22"/>
        </w:rPr>
        <w:t>North America activity remains solid despite Middle East headwinds; DVN's drilling and completion costs should not be materially impacted by the Iran conflict. HAL's margin weakness was Middle East-specific.</w:t>
      </w:r>
    </w:p>
    <w:p>
      <w:pPr>
        <w:pStyle w:val="ListBullet"/>
        <w:ind w:left="360" w:hanging="360"/>
      </w:pPr>
      <w:r>
        <w:rPr>
          <w:rFonts w:ascii="Calibri" w:hAnsi="Calibri"/>
          <w:b/>
          <w:color w:val="525866"/>
          <w:sz w:val="22"/>
        </w:rPr>
        <w:t>HAL management noted</w:t>
      </w:r>
      <w:r>
        <w:rPr>
          <w:rFonts w:ascii="Calibri" w:hAnsi="Calibri"/>
          <w:color w:val="525866"/>
          <w:sz w:val="22"/>
        </w:rPr>
        <w:t xml:space="preserve"> that North America recovery could boost CMP margins in coming quarters. </w:t>
      </w:r>
      <w:r>
        <w:rPr>
          <w:rFonts w:ascii="Calibri" w:hAnsi="Calibri"/>
          <w:b/>
          <w:color w:val="525866"/>
          <w:sz w:val="22"/>
        </w:rPr>
        <w:t xml:space="preserve">Read-through: </w:t>
      </w:r>
      <w:r>
        <w:rPr>
          <w:rFonts w:ascii="Calibri" w:hAnsi="Calibri"/>
          <w:color w:val="525866"/>
          <w:sz w:val="22"/>
        </w:rPr>
        <w:t>Oilfield services costs in North America are not inflating materially, which is supportive of DVN's capital efficiency narrative.</w:t>
      </w:r>
    </w:p>
    <w:p>
      <w:pPr>
        <w:pStyle w:val="Heading3"/>
      </w:pPr>
      <w:r>
        <w:rPr>
          <w:rFonts w:ascii="Calibri" w:hAnsi="Calibri"/>
          <w:b/>
          <w:color w:val="3B4259"/>
          <w:sz w:val="24"/>
        </w:rPr>
        <w:t>SLB (Schlumberger) — Q2 2026 Results (Reported July 24, 2026)</w:t>
      </w:r>
    </w:p>
    <w:p>
      <w:r>
        <w:rPr>
          <w:rFonts w:ascii="Calibri" w:hAnsi="Calibri"/>
          <w:b/>
          <w:color w:val="525866"/>
          <w:sz w:val="22"/>
        </w:rPr>
        <w:t xml:space="preserve">Relevance to DVN: </w:t>
      </w:r>
      <w:r>
        <w:rPr>
          <w:rFonts w:ascii="Calibri" w:hAnsi="Calibri"/>
          <w:color w:val="525866"/>
          <w:sz w:val="22"/>
        </w:rPr>
        <w:t>SLB's international vs. North America commentary provides context for the global E&amp;P spending environment.</w:t>
      </w:r>
    </w:p>
    <w:p>
      <w:pPr>
        <w:pStyle w:val="ListBullet"/>
        <w:ind w:left="360" w:hanging="360"/>
      </w:pPr>
      <w:r>
        <w:rPr>
          <w:rFonts w:ascii="Calibri" w:hAnsi="Calibri"/>
          <w:b/>
          <w:color w:val="525866"/>
          <w:sz w:val="22"/>
        </w:rPr>
        <w:t>SLB Q2 2026:</w:t>
      </w:r>
      <w:r>
        <w:rPr>
          <w:rFonts w:ascii="Calibri" w:hAnsi="Calibri"/>
          <w:color w:val="525866"/>
          <w:sz w:val="22"/>
        </w:rPr>
        <w:t xml:space="preserve"> EPS of $0.55 vs. $0.51 consensus (beat); revenue of $8.97B vs. $8.67B expected. Broad sequential revenue growth in international markets offset Middle East disruptions. Stock +11% on the day. </w:t>
      </w:r>
      <w:r>
        <w:rPr>
          <w:rFonts w:ascii="Calibri" w:hAnsi="Calibri"/>
          <w:b/>
          <w:color w:val="525866"/>
          <w:sz w:val="22"/>
        </w:rPr>
        <w:t xml:space="preserve">Read-through: </w:t>
      </w:r>
      <w:r>
        <w:rPr>
          <w:rFonts w:ascii="Calibri" w:hAnsi="Calibri"/>
          <w:color w:val="525866"/>
          <w:sz w:val="22"/>
        </w:rPr>
        <w:t>International E&amp;P spending is robust outside the Middle East; North America activity is stable. Supportive of DVN's capital efficiency and operational execution narrative.</w:t>
      </w:r>
    </w:p>
    <w:p>
      <w:pPr>
        <w:pStyle w:val="Heading3"/>
      </w:pPr>
      <w:r>
        <w:rPr>
          <w:rFonts w:ascii="Calibri" w:hAnsi="Calibri"/>
          <w:b/>
          <w:color w:val="3B4259"/>
          <w:sz w:val="24"/>
        </w:rPr>
        <w:t>Kinder Morgan (KMI) — Q2 2026 Results (Reported July 22, 2026)</w:t>
      </w:r>
    </w:p>
    <w:p>
      <w:r>
        <w:rPr>
          <w:rFonts w:ascii="Calibri" w:hAnsi="Calibri"/>
          <w:b/>
          <w:color w:val="525866"/>
          <w:sz w:val="22"/>
        </w:rPr>
        <w:t xml:space="preserve">Relevance to DVN: </w:t>
      </w:r>
      <w:r>
        <w:rPr>
          <w:rFonts w:ascii="Calibri" w:hAnsi="Calibri"/>
          <w:color w:val="525866"/>
          <w:sz w:val="22"/>
        </w:rPr>
        <w:t>KMI's natural gas transport volumes and Permian takeaway commentary are directly relevant to DVN's gas infrastructure exposure.</w:t>
      </w:r>
    </w:p>
    <w:p>
      <w:pPr>
        <w:pStyle w:val="ListBullet"/>
        <w:ind w:left="360" w:hanging="360"/>
      </w:pPr>
      <w:r>
        <w:rPr>
          <w:rFonts w:ascii="Calibri" w:hAnsi="Calibri"/>
          <w:b/>
          <w:color w:val="525866"/>
          <w:sz w:val="22"/>
        </w:rPr>
        <w:t>KMI Q2 2026:</w:t>
      </w:r>
      <w:r>
        <w:rPr>
          <w:rFonts w:ascii="Calibri" w:hAnsi="Calibri"/>
          <w:color w:val="525866"/>
          <w:sz w:val="22"/>
        </w:rPr>
        <w:t xml:space="preserve"> Adjusted profit of $0.37/share vs. $0.32 consensus (beat). Natural gas transport volumes of 47,886 BBtu/d vs. 44,818 BBtu/d a year ago (+6.8% YoY). Beat driven by booming Permian output and rising natural gas demand from LNG exports and AI/data center electricity use. </w:t>
      </w:r>
      <w:r>
        <w:rPr>
          <w:rFonts w:ascii="Calibri" w:hAnsi="Calibri"/>
          <w:b/>
          <w:color w:val="525866"/>
          <w:sz w:val="22"/>
        </w:rPr>
        <w:t xml:space="preserve">Read-through: </w:t>
      </w:r>
      <w:r>
        <w:rPr>
          <w:rFonts w:ascii="Calibri" w:hAnsi="Calibri"/>
          <w:color w:val="525866"/>
          <w:sz w:val="22"/>
        </w:rPr>
        <w:t>Permian gas takeaway capacity is being absorbed by strong demand; the Blackcomb pipeline (expected later in 2026) will further improve DVN's Waha exposure management. KMI's volume growth confirms the Permian gas production ramp is real and infrastructure is being utilized.</w:t>
      </w:r>
    </w:p>
    <w:p>
      <w:pPr>
        <w:pStyle w:val="Heading3"/>
      </w:pPr>
      <w:r>
        <w:rPr>
          <w:rFonts w:ascii="Calibri" w:hAnsi="Calibri"/>
          <w:b/>
          <w:color w:val="3B4259"/>
          <w:sz w:val="24"/>
        </w:rPr>
        <w:t>EQT Corporation (EQT) — Q2 2026 Results (Reported July 21, 2026)</w:t>
      </w:r>
    </w:p>
    <w:p>
      <w:r>
        <w:rPr>
          <w:rFonts w:ascii="Calibri" w:hAnsi="Calibri"/>
          <w:b/>
          <w:color w:val="525866"/>
          <w:sz w:val="22"/>
        </w:rPr>
        <w:t xml:space="preserve">Relevance to DVN: </w:t>
      </w:r>
      <w:r>
        <w:rPr>
          <w:rFonts w:ascii="Calibri" w:hAnsi="Calibri"/>
          <w:color w:val="525866"/>
          <w:sz w:val="22"/>
        </w:rPr>
        <w:t>EQT's natural gas price commentary is relevant to DVN's Coterra-acquired Marcellus gas assets.</w:t>
      </w:r>
    </w:p>
    <w:p>
      <w:pPr>
        <w:pStyle w:val="ListBullet"/>
        <w:ind w:left="360" w:hanging="360"/>
      </w:pPr>
      <w:r>
        <w:rPr>
          <w:rFonts w:ascii="Calibri" w:hAnsi="Calibri"/>
          <w:b/>
          <w:color w:val="525866"/>
          <w:sz w:val="22"/>
        </w:rPr>
        <w:t>EQT Q2 2026:</w:t>
      </w:r>
      <w:r>
        <w:rPr>
          <w:rFonts w:ascii="Calibri" w:hAnsi="Calibri"/>
          <w:color w:val="525866"/>
          <w:sz w:val="22"/>
        </w:rPr>
        <w:t xml:space="preserve"> Adjusted EPS of $0.39 vs. $0.40 consensus (slight miss). US natural gas futures averaged $3.02/MMBtu in Q2, down 17.5% YoY. Henry Hub prices stayed below year-ago levels due to record domestic output and comfortable storage. </w:t>
      </w:r>
      <w:r>
        <w:rPr>
          <w:rFonts w:ascii="Calibri" w:hAnsi="Calibri"/>
          <w:b/>
          <w:color w:val="525866"/>
          <w:sz w:val="22"/>
        </w:rPr>
        <w:t xml:space="preserve">Read-through: </w:t>
      </w:r>
      <w:r>
        <w:rPr>
          <w:rFonts w:ascii="Calibri" w:hAnsi="Calibri"/>
          <w:color w:val="525866"/>
          <w:sz w:val="22"/>
        </w:rPr>
        <w:t>Natural gas prices remain a headwind for the Coterra-legacy Marcellus assets that DVN now owns. However, DVN's portfolio is oil-weighted (~46% oil), so gas price weakness is a secondary rather than primary driver of Q2 results.</w:t>
      </w:r>
    </w:p>
    <w:p>
      <w:r>
        <w:br w:type="page"/>
      </w:r>
    </w:p>
    <w:p>
      <w:pPr>
        <w:pStyle w:val="Heading2"/>
      </w:pPr>
      <w:r>
        <w:rPr>
          <w:rFonts w:ascii="Calibri" w:hAnsi="Calibri"/>
          <w:b/>
          <w:color w:val="3B4259"/>
          <w:sz w:val="28"/>
        </w:rPr>
        <w:t>9. Key Risks &amp; Earnings Questions</w:t>
      </w:r>
    </w:p>
    <w:p>
      <w:r>
        <w:rPr>
          <w:rFonts w:ascii="Calibri" w:hAnsi="Calibri"/>
          <w:b/>
          <w:color w:val="525866"/>
          <w:sz w:val="22"/>
        </w:rPr>
        <w:t xml:space="preserve">Key Takeaway: </w:t>
      </w:r>
      <w:r>
        <w:rPr>
          <w:rFonts w:ascii="Calibri" w:hAnsi="Calibri"/>
          <w:color w:val="525866"/>
          <w:sz w:val="22"/>
        </w:rPr>
        <w:t>The primary risk is not the Q2 print itself — which should benefit from strong oil prices — but whether management can deliver a credible, specific combined-entity guidance framework that gives the market confidence in the synergy ramp and capital return trajectory; failure to do so would likely extend DVN's underperformance vs. peers.</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Combined-Entity Guidance Quality:</w:t>
      </w:r>
      <w:r>
        <w:rPr>
          <w:rFonts w:ascii="Calibri" w:hAnsi="Calibri"/>
          <w:color w:val="525866"/>
          <w:sz w:val="22"/>
        </w:rPr>
        <w:t xml:space="preserve"> This is the first quarter where DVN must present a full combined Devon+Coterra financial framework. If guidance is vague, wide-ranged, or deferred again, the stock will likely underperform peers regardless of the Q2 beat. The market needs specific production, capex, and FCF targets for the combined entity.</w:t>
      </w:r>
    </w:p>
    <w:p>
      <w:pPr>
        <w:pStyle w:val="ListBullet"/>
        <w:ind w:left="360" w:hanging="360"/>
      </w:pPr>
      <w:r>
        <w:rPr>
          <w:rFonts w:ascii="Calibri" w:hAnsi="Calibri"/>
          <w:b/>
          <w:color w:val="525866"/>
          <w:sz w:val="22"/>
        </w:rPr>
        <w:t>Integration Cost Creep:</w:t>
      </w:r>
      <w:r>
        <w:rPr>
          <w:rFonts w:ascii="Calibri" w:hAnsi="Calibri"/>
          <w:color w:val="525866"/>
          <w:sz w:val="22"/>
        </w:rPr>
        <w:t xml:space="preserve"> The $1B synergy target (characterized as a floor) is compelling, but integration costs could be higher than expected in the near term. Any upward revision to integration cost estimates would pressure near-term FCF and EPS.</w:t>
      </w:r>
    </w:p>
    <w:p>
      <w:pPr>
        <w:pStyle w:val="ListBullet"/>
        <w:ind w:left="360" w:hanging="360"/>
      </w:pPr>
      <w:r>
        <w:rPr>
          <w:rFonts w:ascii="Calibri" w:hAnsi="Calibri"/>
          <w:b/>
          <w:color w:val="525866"/>
          <w:sz w:val="22"/>
        </w:rPr>
        <w:t>Tax Rate Normalization:</w:t>
      </w:r>
      <w:r>
        <w:rPr>
          <w:rFonts w:ascii="Calibri" w:hAnsi="Calibri"/>
          <w:color w:val="525866"/>
          <w:sz w:val="22"/>
        </w:rPr>
        <w:t xml:space="preserve"> Q1 2026 benefited from a ~$218M one-time current tax benefit under the One Big Beautiful Bill Act. Q2 guidance implies a normalized current tax rate of 15–17% (vs. effectively negative in Q1). This is a known headwind but could still surprise if the combined entity's tax structure differs from standalone Devon.</w:t>
      </w:r>
    </w:p>
    <w:p>
      <w:pPr>
        <w:pStyle w:val="ListBullet"/>
        <w:ind w:left="360" w:hanging="360"/>
      </w:pPr>
      <w:r>
        <w:rPr>
          <w:rFonts w:ascii="Calibri" w:hAnsi="Calibri"/>
          <w:b/>
          <w:color w:val="525866"/>
          <w:sz w:val="22"/>
        </w:rPr>
        <w:t>Waha Gas Price Exposure:</w:t>
      </w:r>
      <w:r>
        <w:rPr>
          <w:rFonts w:ascii="Calibri" w:hAnsi="Calibri"/>
          <w:color w:val="525866"/>
          <w:sz w:val="22"/>
        </w:rPr>
        <w:t xml:space="preserve"> DVN has ~10–15% of gas volumes exposed to Waha prices (deeply negative in Q2 at ~-$2.15/Mcf per FANG's realized prices). The Blackcomb pipeline (expected later in 2026) should reduce this exposure, but until it comes online, Waha remains a drag on gas realizations.</w:t>
      </w:r>
    </w:p>
    <w:p>
      <w:pPr>
        <w:pStyle w:val="ListBullet"/>
        <w:ind w:left="360" w:hanging="360"/>
      </w:pPr>
      <w:r>
        <w:rPr>
          <w:rFonts w:ascii="Calibri" w:hAnsi="Calibri"/>
          <w:b/>
          <w:color w:val="525866"/>
          <w:sz w:val="22"/>
        </w:rPr>
        <w:t>Portfolio Review Uncertainty:</w:t>
      </w:r>
      <w:r>
        <w:rPr>
          <w:rFonts w:ascii="Calibri" w:hAnsi="Calibri"/>
          <w:color w:val="525866"/>
          <w:sz w:val="22"/>
        </w:rPr>
        <w:t xml:space="preserve"> Management initiated a complete review of all combined assets with no preconceived outcomes. While this creates optionality, it also creates uncertainty about which assets may be divested, which could weigh on the stock until the review is complete.</w:t>
      </w:r>
    </w:p>
    <w:p>
      <w:pPr>
        <w:pStyle w:val="ListBullet"/>
        <w:ind w:left="360" w:hanging="360"/>
      </w:pPr>
      <w:r>
        <w:rPr>
          <w:rFonts w:ascii="Calibri" w:hAnsi="Calibri"/>
          <w:b/>
          <w:color w:val="525866"/>
          <w:sz w:val="22"/>
        </w:rPr>
        <w:t>Oil Price Volatility:</w:t>
      </w:r>
      <w:r>
        <w:rPr>
          <w:rFonts w:ascii="Calibri" w:hAnsi="Calibri"/>
          <w:color w:val="525866"/>
          <w:sz w:val="22"/>
        </w:rPr>
        <w:t xml:space="preserve"> The Iran conflict has driven oil prices to multi-year highs, but the FANG CEO explicitly noted that "the timing of the eventual supply normalization is impossible to predict." A ceasefire or Strait of Hormuz reopening could cause a sharp oil price correction that would pressure DVN's FCF and shareholder return capacity.</w:t>
      </w:r>
    </w:p>
    <w:p>
      <w:pPr>
        <w:pStyle w:val="ListBullet"/>
        <w:ind w:left="360" w:hanging="360"/>
      </w:pPr>
      <w:r>
        <w:rPr>
          <w:rFonts w:ascii="Calibri" w:hAnsi="Calibri"/>
          <w:b/>
          <w:color w:val="525866"/>
          <w:sz w:val="22"/>
        </w:rPr>
        <w:t>Shareholder Return Framework Clarity:</w:t>
      </w:r>
      <w:r>
        <w:rPr>
          <w:rFonts w:ascii="Calibri" w:hAnsi="Calibri"/>
          <w:color w:val="525866"/>
          <w:sz w:val="22"/>
        </w:rPr>
        <w:t xml:space="preserve"> The market expects a specific, competitive shareholder return framework for the combined entity (dividend + buyback + debt reduction). DVN announced a &gt;30% dividend increase and &gt;$5B buyback authorization, but the specific allocation between these three levers has not been detailed. Ambiguity here could disappoint income-oriented investors.</w:t>
      </w:r>
    </w:p>
    <w:p>
      <w:pPr>
        <w:pStyle w:val="Heading3"/>
      </w:pPr>
      <w:r>
        <w:rPr>
          <w:rFonts w:ascii="Calibri" w:hAnsi="Calibri"/>
          <w:b/>
          <w:color w:val="3B4259"/>
          <w:sz w:val="24"/>
        </w:rPr>
        <w:t>Key Questions for the Earnings Call</w:t>
      </w:r>
    </w:p>
    <w:p>
      <w:pPr>
        <w:pStyle w:val="ListNumber"/>
        <w:ind w:left="360" w:hanging="360"/>
      </w:pPr>
      <w:r>
        <w:rPr>
          <w:rFonts w:ascii="Calibri" w:hAnsi="Calibri"/>
          <w:b/>
          <w:color w:val="525866"/>
          <w:sz w:val="22"/>
        </w:rPr>
        <w:t>Combined-Entity Full-Year 2026 Guidance:</w:t>
      </w:r>
      <w:r>
        <w:rPr>
          <w:rFonts w:ascii="Calibri" w:hAnsi="Calibri"/>
          <w:color w:val="525866"/>
          <w:sz w:val="22"/>
        </w:rPr>
        <w:t xml:space="preserve"> What are the specific production, capex, LOE, and FCF targets for the combined Devon+Coterra entity for the remainder of 2026? How does the combined capex budget compare to the sum of the two standalone budgets?</w:t>
      </w:r>
    </w:p>
    <w:p>
      <w:pPr>
        <w:pStyle w:val="ListNumber"/>
        <w:ind w:left="360" w:hanging="360"/>
      </w:pPr>
      <w:r>
        <w:rPr>
          <w:rFonts w:ascii="Calibri" w:hAnsi="Calibri"/>
          <w:b/>
          <w:color w:val="525866"/>
          <w:sz w:val="22"/>
        </w:rPr>
        <w:t>Synergy Ramp Timeline:</w:t>
      </w:r>
      <w:r>
        <w:rPr>
          <w:rFonts w:ascii="Calibri" w:hAnsi="Calibri"/>
          <w:color w:val="525866"/>
          <w:sz w:val="22"/>
        </w:rPr>
        <w:t xml:space="preserve"> Of the 156 identified value capture opportunities, how many have been actioned in Q2? What is the quarterly cadence of synergy realization toward the $1B annual run-rate by year-end 2027?</w:t>
      </w:r>
    </w:p>
    <w:p>
      <w:pPr>
        <w:pStyle w:val="ListNumber"/>
        <w:ind w:left="360" w:hanging="360"/>
      </w:pPr>
      <w:r>
        <w:rPr>
          <w:rFonts w:ascii="Calibri" w:hAnsi="Calibri"/>
          <w:b/>
          <w:color w:val="525866"/>
          <w:sz w:val="22"/>
        </w:rPr>
        <w:t>Portfolio Review Status:</w:t>
      </w:r>
      <w:r>
        <w:rPr>
          <w:rFonts w:ascii="Calibri" w:hAnsi="Calibri"/>
          <w:color w:val="525866"/>
          <w:sz w:val="22"/>
        </w:rPr>
        <w:t xml:space="preserve"> What is the timeline for completing the asset review? Are there any assets that have been identified as non-core? What are the criteria for divestiture vs. retention?</w:t>
      </w:r>
    </w:p>
    <w:p>
      <w:pPr>
        <w:pStyle w:val="ListNumber"/>
        <w:ind w:left="360" w:hanging="360"/>
      </w:pPr>
      <w:r>
        <w:rPr>
          <w:rFonts w:ascii="Calibri" w:hAnsi="Calibri"/>
          <w:b/>
          <w:color w:val="525866"/>
          <w:sz w:val="22"/>
        </w:rPr>
        <w:t>Shareholder Return Framework:</w:t>
      </w:r>
      <w:r>
        <w:rPr>
          <w:rFonts w:ascii="Calibri" w:hAnsi="Calibri"/>
          <w:color w:val="525866"/>
          <w:sz w:val="22"/>
        </w:rPr>
        <w:t xml:space="preserve"> What is the specific allocation between dividends, buybacks, and debt reduction for the combined entity? What is the target leverage ratio (net debt/EBITDAX) and timeline to achieve it?</w:t>
      </w:r>
    </w:p>
    <w:p>
      <w:pPr>
        <w:pStyle w:val="ListNumber"/>
        <w:ind w:left="360" w:hanging="360"/>
      </w:pPr>
      <w:r>
        <w:rPr>
          <w:rFonts w:ascii="Calibri" w:hAnsi="Calibri"/>
          <w:b/>
          <w:color w:val="525866"/>
          <w:sz w:val="22"/>
        </w:rPr>
        <w:t>Waha Exposure and Blackcomb Timeline:</w:t>
      </w:r>
      <w:r>
        <w:rPr>
          <w:rFonts w:ascii="Calibri" w:hAnsi="Calibri"/>
          <w:color w:val="525866"/>
          <w:sz w:val="22"/>
        </w:rPr>
        <w:t xml:space="preserve"> Has the Blackcomb pipeline timeline changed? What is the current Waha exposure as a percentage of combined gas volumes, and what is the expected exposure post-Blackcomb?</w:t>
      </w:r>
    </w:p>
    <w:p>
      <w:pPr>
        <w:pStyle w:val="ListNumber"/>
        <w:ind w:left="360" w:hanging="360"/>
      </w:pPr>
      <w:r>
        <w:rPr>
          <w:rFonts w:ascii="Calibri" w:hAnsi="Calibri"/>
          <w:b/>
          <w:color w:val="525866"/>
          <w:sz w:val="22"/>
        </w:rPr>
        <w:t>Coterra Marcellus Integration:</w:t>
      </w:r>
      <w:r>
        <w:rPr>
          <w:rFonts w:ascii="Calibri" w:hAnsi="Calibri"/>
          <w:color w:val="525866"/>
          <w:sz w:val="22"/>
        </w:rPr>
        <w:t xml:space="preserve"> How are the Coterra Marcellus assets performing relative to expectations? Given weak Henry Hub prices, is there any plan to curtail Marcellus activity?</w:t>
      </w:r>
    </w:p>
    <w:p>
      <w:pPr>
        <w:pStyle w:val="ListNumber"/>
        <w:ind w:left="360" w:hanging="360"/>
      </w:pPr>
      <w:r>
        <w:rPr>
          <w:rFonts w:ascii="Calibri" w:hAnsi="Calibri"/>
          <w:b/>
          <w:color w:val="525866"/>
          <w:sz w:val="22"/>
        </w:rPr>
        <w:t>AI and Technology Deployment:</w:t>
      </w:r>
      <w:r>
        <w:rPr>
          <w:rFonts w:ascii="Calibri" w:hAnsi="Calibri"/>
          <w:color w:val="525866"/>
          <w:sz w:val="22"/>
        </w:rPr>
        <w:t xml:space="preserve"> How is the autonomous artificial lift optimization program (850+ wells on standalone Devon) being extended to Coterra assets? What is the expected production uplift from deploying DVN's AI toolkit across the combined portfolio?</w:t>
      </w:r>
    </w:p>
    <w:p>
      <w:pPr>
        <w:pStyle w:val="ListNumber"/>
        <w:ind w:left="360" w:hanging="360"/>
      </w:pPr>
      <w:r>
        <w:rPr>
          <w:rFonts w:ascii="Calibri" w:hAnsi="Calibri"/>
          <w:b/>
          <w:color w:val="525866"/>
          <w:sz w:val="22"/>
        </w:rPr>
        <w:t>Oil Price Hedging Strategy:</w:t>
      </w:r>
      <w:r>
        <w:rPr>
          <w:rFonts w:ascii="Calibri" w:hAnsi="Calibri"/>
          <w:color w:val="525866"/>
          <w:sz w:val="22"/>
        </w:rPr>
        <w:t xml:space="preserve"> Given the strong oil price environment, what is the hedging posture for H2 2026 and 2027? Is management adding hedges at current prices or leaving more exposure open?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