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EBAY before writing the preview. Let me start by gathering recent filings, transcripts, and news.Let me read the most recent earnings release and transcript, and pull stock price and recent news.Let me read the Q1 2026 earnings call transcript and pull recent stock price data.I have strong fundamental data. Let me grab macro/e-commerce backdrop for context.# eBay (EBAY) — Q2 2026 Earnings Preview</w:t>
      </w:r>
    </w:p>
    <w:bookmarkStart w:id="9" w:name="Xbdd1dc59c85382913a40de0062b1476c3c59663"/>
    <w:p>
      <w:pPr>
        <w:pStyle w:val="Heading3"/>
      </w:pPr>
      <w:r>
        <w:t xml:space="preserve">Reports Wednesday, August 5, 2026 (after the U.S. close) | 2026Q2 Earnings Call</w:t>
      </w:r>
    </w:p>
    <w:p>
      <w:r>
        <w:pict>
          <v:rect style="width:0;height:1.5pt" o:hralign="center" o:hrstd="t" o:hr="t"/>
        </w:pict>
      </w:r>
    </w:p>
    <w:bookmarkEnd w:id="9"/>
    <w:bookmarkStart w:id="10" w:name="X9c49170cbd2f27dc2696601c9da053432855a4a"/>
    <w:p>
      <w:pPr>
        <w:pStyle w:val="Heading2"/>
      </w:pPr>
      <w:r>
        <w:t xml:space="preserve">1. The Setup: What to Watch</w:t>
      </w:r>
    </w:p>
    <w:p>
      <w:pPr>
        <w:pStyle w:val="FirstParagraph"/>
      </w:pPr>
      <w:r>
        <w:t xml:space="preserve">eBay heads into this print with momentum on its side but a deliberately conservative bar it set for itself. The stock has been a strong performer — shares opened 2026 around $87 and traded near $110 on August 4, up roughly 26% year-to-date, having peaked near</w:t>
      </w:r>
      <w:r>
        <w:t xml:space="preserve"> </w:t>
      </w:r>
      <m:oMath>
        <m:r>
          <m:t>119</m:t>
        </m:r>
        <m:r>
          <m:t>i</m:t>
        </m:r>
        <m:r>
          <m:t>n</m:t>
        </m:r>
        <m:r>
          <m:t>l</m:t>
        </m:r>
        <m:r>
          <m:t>a</m:t>
        </m:r>
        <m:r>
          <m:t>t</m:t>
        </m:r>
        <m:r>
          <m:t>e</m:t>
        </m:r>
        <m:r>
          <m:t>M</m:t>
        </m:r>
        <m:r>
          <m:t>a</m:t>
        </m:r>
        <m:r>
          <m:t>y</m:t>
        </m:r>
        <m:r>
          <m:t>b</m:t>
        </m:r>
        <m:r>
          <m:t>e</m:t>
        </m:r>
        <m:r>
          <m:t>f</m:t>
        </m:r>
        <m:r>
          <m:t>o</m:t>
        </m:r>
        <m:r>
          <m:t>r</m:t>
        </m:r>
        <m:r>
          <m:t>e</m:t>
        </m:r>
        <m:r>
          <m:t>d</m:t>
        </m:r>
        <m:r>
          <m:t>r</m:t>
        </m:r>
        <m:r>
          <m:t>i</m:t>
        </m:r>
        <m:r>
          <m:t>f</m:t>
        </m:r>
        <m:r>
          <m:t>t</m:t>
        </m:r>
        <m:r>
          <m:t>i</m:t>
        </m:r>
        <m:r>
          <m:t>n</m:t>
        </m:r>
        <m:r>
          <m:t>g</m:t>
        </m:r>
        <m:r>
          <m:t>l</m:t>
        </m:r>
        <m:r>
          <m:t>o</m:t>
        </m:r>
        <m:r>
          <m:t>w</m:t>
        </m:r>
        <m:r>
          <m:t>e</m:t>
        </m:r>
        <m:r>
          <m:t>r</m:t>
        </m:r>
        <m:r>
          <m:rPr>
            <m:sty m:val="p"/>
          </m:rPr>
          <m:t>.</m:t>
        </m:r>
        <m:r>
          <m:t>T</m:t>
        </m:r>
        <m:r>
          <m:t>h</m:t>
        </m:r>
        <m:r>
          <m:t>e</m:t>
        </m:r>
        <m:r>
          <m:t>r</m:t>
        </m:r>
        <m:r>
          <m:t>e</m:t>
        </m:r>
        <m:r>
          <m:t>c</m:t>
        </m:r>
        <m:r>
          <m:t>e</m:t>
        </m:r>
        <m:r>
          <m:t>n</m:t>
        </m:r>
        <m:r>
          <m:t>t</m:t>
        </m:r>
        <m:r>
          <m:t>t</m:t>
        </m:r>
        <m:r>
          <m:t>w</m:t>
        </m:r>
        <m:r>
          <m:t>o</m:t>
        </m:r>
        <m:r>
          <m:rPr>
            <m:sty m:val="p"/>
          </m:rPr>
          <m:t>−</m:t>
        </m:r>
        <m:r>
          <m:t>d</m:t>
        </m:r>
        <m:r>
          <m:t>a</m:t>
        </m:r>
        <m:r>
          <m:t>y</m:t>
        </m:r>
        <m:r>
          <m:t>d</m:t>
        </m:r>
        <m:r>
          <m:t>i</m:t>
        </m:r>
        <m:r>
          <m:t>p</m:t>
        </m:r>
        <m:r>
          <m:rPr>
            <m:sty m:val="p"/>
          </m:rPr>
          <m:t>(</m:t>
        </m:r>
        <m:r>
          <m:t>f</m:t>
        </m:r>
        <m:r>
          <m:t>r</m:t>
        </m:r>
        <m:r>
          <m:t>o</m:t>
        </m:r>
        <m:r>
          <m:t>m</m:t>
        </m:r>
        <m:r>
          <m:t> </m:t>
        </m:r>
      </m:oMath>
      <w:r>
        <w:t xml:space="preserve">114 on 7/31 to ~</w:t>
      </w:r>
      <m:oMath>
        <m:r>
          <m:t>107</m:t>
        </m:r>
        <m:r>
          <m:t>o</m:t>
        </m:r>
        <m:r>
          <m:t>n</m:t>
        </m:r>
        <m:r>
          <m:t>8</m:t>
        </m:r>
        <m:r>
          <m:rPr>
            <m:sty m:val="p"/>
          </m:rPr>
          <m:t>/</m:t>
        </m:r>
        <m:r>
          <m:t>3</m:t>
        </m:r>
        <m:r>
          <m:rPr>
            <m:sty m:val="p"/>
          </m:rPr>
          <m:t>,</m:t>
        </m:r>
        <m:r>
          <m:t>b</m:t>
        </m:r>
        <m:r>
          <m:t>e</m:t>
        </m:r>
        <m:r>
          <m:t>f</m:t>
        </m:r>
        <m:r>
          <m:t>o</m:t>
        </m:r>
        <m:r>
          <m:t>r</m:t>
        </m:r>
        <m:r>
          <m:t>e</m:t>
        </m:r>
        <m:r>
          <m:t>r</m:t>
        </m:r>
        <m:r>
          <m:t>e</m:t>
        </m:r>
        <m:r>
          <m:t>b</m:t>
        </m:r>
        <m:r>
          <m:t>o</m:t>
        </m:r>
        <m:r>
          <m:t>u</m:t>
        </m:r>
        <m:r>
          <m:t>n</m:t>
        </m:r>
        <m:r>
          <m:t>d</m:t>
        </m:r>
        <m:r>
          <m:t>i</m:t>
        </m:r>
        <m:r>
          <m:t>n</m:t>
        </m:r>
        <m:r>
          <m:t>g</m:t>
        </m:r>
        <m:r>
          <m:t>t</m:t>
        </m:r>
        <m:r>
          <m:t>o</m:t>
        </m:r>
        <m:r>
          <m:t> </m:t>
        </m:r>
      </m:oMath>
      <w:r>
        <w:t xml:space="preserve">109.64) suggests some pre-earnings de-risking, consistent with the choppy tape around this earnings season.</w:t>
      </w:r>
    </w:p>
    <w:p>
      <w:pPr>
        <w:pStyle w:val="BodyText"/>
      </w:pPr>
      <w:r>
        <w:t xml:space="preserve">The core question tomorrow:</w:t>
      </w:r>
      <w:r>
        <w:t xml:space="preserve"> </w:t>
      </w:r>
      <w:r>
        <w:rPr>
          <w:b/>
          <w:bCs/>
        </w:rPr>
        <w:t xml:space="preserve">can eBay sustain its accelerated GMV momentum against much tougher comparisons in the back half of 2026?</w:t>
      </w:r>
      <w:r>
        <w:t xml:space="preserve"> </w:t>
      </w:r>
      <w:r>
        <w:t xml:space="preserve">Management explicitly guided for deceleration from Q1's blistering pace, so the print is less about the headline growth number and more about the</w:t>
      </w:r>
      <w:r>
        <w:t xml:space="preserve"> </w:t>
      </w:r>
      <w:r>
        <w:rPr>
          <w:i/>
          <w:iCs/>
        </w:rPr>
        <w:t xml:space="preserve">quality</w:t>
      </w:r>
      <w:r>
        <w:t xml:space="preserve"> </w:t>
      </w:r>
      <w:r>
        <w:t xml:space="preserve">and</w:t>
      </w:r>
      <w:r>
        <w:t xml:space="preserve"> </w:t>
      </w:r>
      <w:r>
        <w:rPr>
          <w:i/>
          <w:iCs/>
        </w:rPr>
        <w:t xml:space="preserve">durability</w:t>
      </w:r>
      <w:r>
        <w:t xml:space="preserve"> </w:t>
      </w:r>
      <w:r>
        <w:t xml:space="preserve">of the underlying trends.</w:t>
      </w:r>
    </w:p>
    <w:p>
      <w:r>
        <w:pict>
          <v:rect style="width:0;height:1.5pt" o:hralign="center" o:hrstd="t" o:hr="t"/>
        </w:pict>
      </w:r>
    </w:p>
    <w:bookmarkEnd w:id="10"/>
    <w:bookmarkStart w:id="14" w:name="X739e7ec209620d1f4e385a0bcc47414b7078ee5"/>
    <w:p>
      <w:pPr>
        <w:pStyle w:val="Heading2"/>
      </w:pPr>
      <w:r>
        <w:t xml:space="preserve">2. The Numbers That Matter</w:t>
      </w:r>
    </w:p>
    <w:bookmarkStart w:id="11" w:name="company-q2-2026-guidance-given-april-29"/>
    <w:p>
      <w:pPr>
        <w:pStyle w:val="Heading3"/>
      </w:pPr>
      <w:r>
        <w:t xml:space="preserve">Company Q2 2026 Guidance (given April 29)</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Guidance</w:t>
            </w:r>
          </w:p>
        </w:tc>
        <w:tc>
          <w:tcPr/>
          <w:p>
            <w:pPr>
              <w:pStyle w:val="Compact"/>
            </w:pPr>
            <w:r>
              <w:t xml:space="preserve">Implied Y/Y (FX-Neutral)</w:t>
            </w:r>
          </w:p>
        </w:tc>
      </w:tr>
      <w:tr>
        <w:tc>
          <w:tcPr/>
          <w:p>
            <w:pPr>
              <w:pStyle w:val="Compact"/>
            </w:pPr>
            <w:r>
              <w:t xml:space="preserve">Revenue</w:t>
            </w:r>
          </w:p>
        </w:tc>
        <w:tc>
          <w:tcPr/>
          <w:p>
            <w:pPr>
              <w:pStyle w:val="Compact"/>
            </w:pPr>
            <w:r>
              <w:t xml:space="preserve">$2.97B – $3.03B</w:t>
            </w:r>
          </w:p>
        </w:tc>
        <w:tc>
          <w:tcPr/>
          <w:p>
            <w:pPr>
              <w:pStyle w:val="Compact"/>
            </w:pPr>
            <w:r>
              <w:t xml:space="preserve">+8% to +10%</w:t>
            </w:r>
          </w:p>
        </w:tc>
      </w:tr>
      <w:tr>
        <w:tc>
          <w:tcPr/>
          <w:p>
            <w:pPr>
              <w:pStyle w:val="Compact"/>
            </w:pPr>
            <w:r>
              <w:t xml:space="preserve">GMV</w:t>
            </w:r>
          </w:p>
        </w:tc>
        <w:tc>
          <w:tcPr/>
          <w:p>
            <w:pPr>
              <w:pStyle w:val="Compact"/>
            </w:pPr>
            <w:r>
              <w:t xml:space="preserve">$21.3B – $21.7B</w:t>
            </w:r>
          </w:p>
        </w:tc>
        <w:tc>
          <w:tcPr/>
          <w:p>
            <w:pPr>
              <w:pStyle w:val="Compact"/>
            </w:pPr>
            <w:r>
              <w:t xml:space="preserve">+8% to +10%</w:t>
            </w:r>
          </w:p>
        </w:tc>
      </w:tr>
      <w:tr>
        <w:tc>
          <w:tcPr/>
          <w:p>
            <w:pPr>
              <w:pStyle w:val="Compact"/>
            </w:pPr>
            <w:r>
              <w:t xml:space="preserve">Non-GAAP EPS</w:t>
            </w:r>
          </w:p>
        </w:tc>
        <w:tc>
          <w:tcPr/>
          <w:p>
            <w:pPr>
              <w:pStyle w:val="Compact"/>
            </w:pPr>
            <w:r>
              <w:t xml:space="preserve">$1.46 – $1.51</w:t>
            </w:r>
          </w:p>
        </w:tc>
        <w:tc>
          <w:tcPr/>
          <w:p>
            <w:pPr>
              <w:pStyle w:val="Compact"/>
            </w:pPr>
            <w:r>
              <w:t xml:space="preserve">+7% to +11%</w:t>
            </w:r>
          </w:p>
        </w:tc>
      </w:tr>
      <w:tr>
        <w:tc>
          <w:tcPr/>
          <w:p>
            <w:pPr>
              <w:pStyle w:val="Compact"/>
            </w:pPr>
            <w:r>
              <w:t xml:space="preserve">GAAP EPS</w:t>
            </w:r>
          </w:p>
        </w:tc>
        <w:tc>
          <w:tcPr/>
          <w:p>
            <w:pPr>
              <w:pStyle w:val="Compact"/>
            </w:pPr>
            <w:r>
              <w:t xml:space="preserve">$1.09 – $1.14</w:t>
            </w:r>
          </w:p>
        </w:tc>
        <w:tc>
          <w:tcPr/>
          <w:p>
            <w:pPr>
              <w:pStyle w:val="Compact"/>
            </w:pPr>
            <w:r>
              <w:t xml:space="preserve">—</w:t>
            </w:r>
          </w:p>
        </w:tc>
      </w:tr>
      <w:tr>
        <w:tc>
          <w:tcPr/>
          <w:p>
            <w:pPr>
              <w:pStyle w:val="Compact"/>
            </w:pPr>
            <w:r>
              <w:t xml:space="preserve">Non-GAAP operating margin</w:t>
            </w:r>
          </w:p>
        </w:tc>
        <w:tc>
          <w:tcPr/>
          <w:p>
            <w:pPr>
              <w:pStyle w:val="Compact"/>
            </w:pPr>
            <w:r>
              <w:t xml:space="preserve">27.6% – 28.1%</w:t>
            </w:r>
          </w:p>
        </w:tc>
        <w:tc>
          <w:tcPr/>
          <w:p>
            <w:pPr>
              <w:pStyle w:val="Compact"/>
            </w:pPr>
            <w:r>
              <w:t xml:space="preserve">—</w:t>
            </w:r>
          </w:p>
        </w:tc>
      </w:tr>
    </w:tbl>
    <w:bookmarkEnd w:id="11"/>
    <w:bookmarkStart w:id="12" w:name="street-expectations"/>
    <w:p>
      <w:pPr>
        <w:pStyle w:val="Heading3"/>
      </w:pPr>
      <w:r>
        <w:t xml:space="preserve">Street Expectations</w:t>
      </w:r>
    </w:p>
    <w:p>
      <w:pPr>
        <w:pStyle w:val="FirstParagraph"/>
      </w:pPr>
      <w:r>
        <w:t xml:space="preserve">Recent reporting indicates the Street is looking for revenue of roughly</w:t>
      </w:r>
      <w:r>
        <w:t xml:space="preserve"> </w:t>
      </w:r>
      <w:r>
        <w:rPr>
          <w:b/>
          <w:bCs/>
        </w:rPr>
        <w:t xml:space="preserve">$3.018B (+~10.5%)</w:t>
      </w:r>
      <w:r>
        <w:t xml:space="preserve"> </w:t>
      </w:r>
      <w:r>
        <w:t xml:space="preserve">and non-GAAP</w:t>
      </w:r>
      <w:r>
        <w:t xml:space="preserve"> </w:t>
      </w:r>
      <w:r>
        <w:rPr>
          <w:b/>
          <w:bCs/>
        </w:rPr>
        <w:t xml:space="preserve">EPS of $1.51</w:t>
      </w:r>
      <w:r>
        <w:t xml:space="preserve"> </w:t>
      </w:r>
      <w:r>
        <w:t xml:space="preserve">— effectively at the</w:t>
      </w:r>
      <w:r>
        <w:t xml:space="preserve"> </w:t>
      </w:r>
      <w:r>
        <w:rPr>
          <w:i/>
          <w:iCs/>
        </w:rPr>
        <w:t xml:space="preserve">high end</w:t>
      </w:r>
      <w:r>
        <w:t xml:space="preserve"> </w:t>
      </w:r>
      <w:r>
        <w:t xml:space="preserve">of management's own guidance range. That's an important framing: consensus already assumes eBay hits the top of its guide, so a mere in-line-with-guidance quarter could disappoint, while the "beat" bar is higher than the guidance range implies.</w:t>
      </w:r>
    </w:p>
    <w:bookmarkEnd w:id="12"/>
    <w:bookmarkStart w:id="13" w:name="why-growth-decelerates-from-q1"/>
    <w:p>
      <w:pPr>
        <w:pStyle w:val="Heading3"/>
      </w:pPr>
      <w:r>
        <w:t xml:space="preserve">Why Growth Decelerates from Q1</w:t>
      </w:r>
    </w:p>
    <w:p>
      <w:pPr>
        <w:pStyle w:val="FirstParagraph"/>
      </w:pPr>
      <w:r>
        <w:t xml:space="preserve">Management was explicit that Q2 growth would step down from Q1's exceptional pace (GMV +14% FXN, revenue +17% FXN). The deceleration is driven by:</w:t>
      </w:r>
    </w:p>
    <w:p>
      <w:pPr>
        <w:pStyle w:val="Compact"/>
        <w:numPr>
          <w:ilvl w:val="0"/>
          <w:numId w:val="1001"/>
        </w:numPr>
      </w:pPr>
      <w:r>
        <w:rPr>
          <w:b/>
          <w:bCs/>
        </w:rPr>
        <w:t xml:space="preserve">Lapping</w:t>
      </w:r>
      <w:r>
        <w:t xml:space="preserve"> </w:t>
      </w:r>
      <w:r>
        <w:t xml:space="preserve">last year's Q2 tailwinds from lower-funnel marketing efficiencies and the U.S.</w:t>
      </w:r>
      <w:r>
        <w:t xml:space="preserve"> </w:t>
      </w:r>
      <w:r>
        <w:rPr>
          <w:b/>
          <w:bCs/>
        </w:rPr>
        <w:t xml:space="preserve">Klarna</w:t>
      </w:r>
      <w:r>
        <w:t xml:space="preserve"> </w:t>
      </w:r>
      <w:r>
        <w:t xml:space="preserve">partnership;</w:t>
      </w:r>
    </w:p>
    <w:p>
      <w:pPr>
        <w:pStyle w:val="Compact"/>
        <w:numPr>
          <w:ilvl w:val="0"/>
          <w:numId w:val="1001"/>
        </w:numPr>
      </w:pPr>
      <w:r>
        <w:rPr>
          <w:b/>
          <w:bCs/>
        </w:rPr>
        <w:t xml:space="preserve">Gold and silver bullion</w:t>
      </w:r>
      <w:r>
        <w:t xml:space="preserve"> </w:t>
      </w:r>
      <w:r>
        <w:t xml:space="preserve">volumes normalizing back to historical levels after a precious-metals-driven surge that faded in late Q1.</w:t>
      </w:r>
    </w:p>
    <w:p>
      <w:pPr>
        <w:pStyle w:val="FirstParagraph"/>
      </w:pPr>
      <w:r>
        <w:t xml:space="preserve">These are largely mechanical/comp-driven headwinds rather than signs of core demand weakness — a nuance worth stressing if the headline growth number looks soft.</w:t>
      </w:r>
    </w:p>
    <w:p>
      <w:r>
        <w:pict>
          <v:rect style="width:0;height:1.5pt" o:hralign="center" o:hrstd="t" o:hr="t"/>
        </w:pict>
      </w:r>
    </w:p>
    <w:bookmarkEnd w:id="13"/>
    <w:bookmarkEnd w:id="14"/>
    <w:bookmarkStart w:id="15" w:name="X053c61e0c13477662e89f083f09c2698025f468"/>
    <w:p>
      <w:pPr>
        <w:pStyle w:val="Heading2"/>
      </w:pPr>
      <w:r>
        <w:t xml:space="preserve">3. Full-Year Framework &amp; the Key Debate</w:t>
      </w:r>
    </w:p>
    <w:p>
      <w:pPr>
        <w:pStyle w:val="FirstParagraph"/>
      </w:pPr>
      <w:r>
        <w:t xml:space="preserve">On the Q1 call, eBay</w:t>
      </w:r>
      <w:r>
        <w:t xml:space="preserve"> </w:t>
      </w:r>
      <w:r>
        <w:rPr>
          <w:b/>
          <w:bCs/>
        </w:rPr>
        <w:t xml:space="preserve">raised</w:t>
      </w:r>
      <w:r>
        <w:t xml:space="preserve"> </w:t>
      </w:r>
      <w:r>
        <w:t xml:space="preserve">its full-year 2026 outlook (excluding Depop):</w:t>
      </w:r>
    </w:p>
    <w:p>
      <w:pPr>
        <w:pStyle w:val="Compact"/>
        <w:numPr>
          <w:ilvl w:val="0"/>
          <w:numId w:val="1002"/>
        </w:numPr>
      </w:pPr>
      <w:r>
        <w:rPr>
          <w:b/>
          <w:bCs/>
        </w:rPr>
        <w:t xml:space="preserve">GMV growth of 7% – 7.5%</w:t>
      </w:r>
      <w:r>
        <w:t xml:space="preserve"> </w:t>
      </w:r>
      <w:r>
        <w:t xml:space="preserve">FX-neutral</w:t>
      </w:r>
    </w:p>
    <w:p>
      <w:pPr>
        <w:pStyle w:val="Compact"/>
        <w:numPr>
          <w:ilvl w:val="0"/>
          <w:numId w:val="1002"/>
        </w:numPr>
      </w:pPr>
      <w:r>
        <w:rPr>
          <w:b/>
          <w:bCs/>
        </w:rPr>
        <w:t xml:space="preserve">Non-GAAP operating income growth of 9% – 11%</w:t>
      </w:r>
    </w:p>
    <w:p>
      <w:pPr>
        <w:pStyle w:val="Compact"/>
        <w:numPr>
          <w:ilvl w:val="0"/>
          <w:numId w:val="1002"/>
        </w:numPr>
      </w:pPr>
      <w:r>
        <w:rPr>
          <w:b/>
          <w:bCs/>
        </w:rPr>
        <w:t xml:space="preserve">Non-GAAP EPS growth roughly in line with operating income</w:t>
      </w:r>
    </w:p>
    <w:p>
      <w:pPr>
        <w:pStyle w:val="FirstParagraph"/>
      </w:pPr>
      <w:r>
        <w:t xml:space="preserve">Watch closely for whether management</w:t>
      </w:r>
      <w:r>
        <w:t xml:space="preserve"> </w:t>
      </w:r>
      <w:r>
        <w:rPr>
          <w:b/>
          <w:bCs/>
        </w:rPr>
        <w:t xml:space="preserve">raises the full year again</w:t>
      </w:r>
      <w:r>
        <w:t xml:space="preserve">. In Q1 they beat and raised; a repeat would reinforce the bull case that strategic investments are compounding. However, management also flagged that they tend to</w:t>
      </w:r>
      <w:r>
        <w:t xml:space="preserve"> </w:t>
      </w:r>
      <w:r>
        <w:rPr>
          <w:i/>
          <w:iCs/>
        </w:rPr>
        <w:t xml:space="preserve">reinvest upside</w:t>
      </w:r>
      <w:r>
        <w:t xml:space="preserve"> </w:t>
      </w:r>
      <w:r>
        <w:t xml:space="preserve">into strategic priorities (marketing, C2C, Live), so a beat may flow into the growth algorithm rather than the bottom line. Also monitor commentary on the net-interest line, which they expect to pressure EPS growth (lower cash balance + higher interest expense) partially offsetting the buyback tailwind.</w:t>
      </w:r>
    </w:p>
    <w:p>
      <w:r>
        <w:pict>
          <v:rect style="width:0;height:1.5pt" o:hralign="center" o:hrstd="t" o:hr="t"/>
        </w:pict>
      </w:r>
    </w:p>
    <w:bookmarkEnd w:id="15"/>
    <w:bookmarkStart w:id="16" w:name="Xc988cd83fa086cb81e939ce17316c86016dc79a"/>
    <w:p>
      <w:pPr>
        <w:pStyle w:val="Heading2"/>
      </w:pPr>
      <w:r>
        <w:t xml:space="preserve">4. Strategic Drivers — The Real Story</w:t>
      </w:r>
    </w:p>
    <w:p>
      <w:pPr>
        <w:pStyle w:val="FirstParagraph"/>
      </w:pPr>
      <w:r>
        <w:t xml:space="preserve">eBay's turnaround thesis rests on its "focus categories, C2C, and recommerce" priorities, which now make up</w:t>
      </w:r>
      <w:r>
        <w:t xml:space="preserve"> </w:t>
      </w:r>
      <w:r>
        <w:rPr>
          <w:b/>
          <w:bCs/>
        </w:rPr>
        <w:t xml:space="preserve">~70% of total GMV</w:t>
      </w:r>
      <w:r>
        <w:t xml:space="preserve"> </w:t>
      </w:r>
      <w:r>
        <w:t xml:space="preserve">and are collectively growing in the high teens. Key growth vectors to listen for:</w:t>
      </w:r>
    </w:p>
    <w:p>
      <w:pPr>
        <w:pStyle w:val="Compact"/>
        <w:numPr>
          <w:ilvl w:val="0"/>
          <w:numId w:val="1003"/>
        </w:numPr>
      </w:pPr>
      <w:r>
        <w:rPr>
          <w:b/>
          <w:bCs/>
        </w:rPr>
        <w:t xml:space="preserve">Focus categories (+24% in Q1):</w:t>
      </w:r>
      <w:r>
        <w:t xml:space="preserve"> </w:t>
      </w:r>
      <w:r>
        <w:t xml:space="preserve">Collectibles (trading cards, especially sports and Pokémon), eBay Motors Parts &amp; Accessories (best quarter since 2021, aided by "Guaranteed Fit"), and fashion. Watch whether category strength stays broad-based beyond collectibles.</w:t>
      </w:r>
    </w:p>
    <w:p>
      <w:pPr>
        <w:pStyle w:val="Compact"/>
        <w:numPr>
          <w:ilvl w:val="0"/>
          <w:numId w:val="1003"/>
        </w:numPr>
      </w:pPr>
      <w:r>
        <w:rPr>
          <w:b/>
          <w:bCs/>
        </w:rPr>
        <w:t xml:space="preserve">C2C:</w:t>
      </w:r>
      <w:r>
        <w:t xml:space="preserve"> </w:t>
      </w:r>
      <w:r>
        <w:t xml:space="preserve">Double-digit GMV growth across the U.S., U.K., and Germany, powered by the AI "Magical Listing" tool (&gt;50% increase in new listing creation rate). The</w:t>
      </w:r>
      <w:r>
        <w:t xml:space="preserve"> </w:t>
      </w:r>
      <w:r>
        <w:rPr>
          <w:b/>
          <w:bCs/>
        </w:rPr>
        <w:t xml:space="preserve">May Australia C2C revamp</w:t>
      </w:r>
      <w:r>
        <w:t xml:space="preserve"> </w:t>
      </w:r>
      <w:r>
        <w:t xml:space="preserve">(removing consumer seller fees, adding a buyer-facing fee) is a Q2 event — early read-through matters.</w:t>
      </w:r>
    </w:p>
    <w:p>
      <w:pPr>
        <w:pStyle w:val="Compact"/>
        <w:numPr>
          <w:ilvl w:val="0"/>
          <w:numId w:val="1003"/>
        </w:numPr>
      </w:pPr>
      <w:r>
        <w:rPr>
          <w:b/>
          <w:bCs/>
        </w:rPr>
        <w:t xml:space="preserve">eBay Live:</w:t>
      </w:r>
      <w:r>
        <w:t xml:space="preserve"> </w:t>
      </w:r>
      <w:r>
        <w:t xml:space="preserve">Livestream shopping GMV run-rate running</w:t>
      </w:r>
      <w:r>
        <w:t xml:space="preserve"> </w:t>
      </w:r>
      <w:r>
        <w:rPr>
          <w:b/>
          <w:bCs/>
        </w:rPr>
        <w:t xml:space="preserve">~8x higher year-over-year</w:t>
      </w:r>
      <w:r>
        <w:t xml:space="preserve"> </w:t>
      </w:r>
      <w:r>
        <w:t xml:space="preserve">— small but fast-growing, and a potential emerging narrative.</w:t>
      </w:r>
    </w:p>
    <w:p>
      <w:pPr>
        <w:pStyle w:val="Compact"/>
        <w:numPr>
          <w:ilvl w:val="0"/>
          <w:numId w:val="1003"/>
        </w:numPr>
      </w:pPr>
      <w:r>
        <w:rPr>
          <w:b/>
          <w:bCs/>
        </w:rPr>
        <w:t xml:space="preserve">Vehicles:</w:t>
      </w:r>
      <w:r>
        <w:t xml:space="preserve"> </w:t>
      </w:r>
      <w:r>
        <w:t xml:space="preserve">Early-stage but scaling; exited Q1 at a run-rate in the "hundreds of millions."</w:t>
      </w:r>
    </w:p>
    <w:p>
      <w:pPr>
        <w:pStyle w:val="Compact"/>
        <w:numPr>
          <w:ilvl w:val="0"/>
          <w:numId w:val="1003"/>
        </w:numPr>
      </w:pPr>
      <w:r>
        <w:rPr>
          <w:b/>
          <w:bCs/>
        </w:rPr>
        <w:t xml:space="preserve">Advertising:</w:t>
      </w:r>
      <w:r>
        <w:t xml:space="preserve"> </w:t>
      </w:r>
      <w:r>
        <w:t xml:space="preserve">Total ad revenue was $581M in Q1 (2.6% of GMV), with first-party ads +28%. Ads continue to outpace GMV and are a key margin/take-rate lever — a critical growth-and-profit tailwind investors are watching.</w:t>
      </w:r>
    </w:p>
    <w:p>
      <w:pPr>
        <w:pStyle w:val="Compact"/>
        <w:numPr>
          <w:ilvl w:val="0"/>
          <w:numId w:val="1003"/>
        </w:numPr>
      </w:pPr>
      <w:r>
        <w:rPr>
          <w:b/>
          <w:bCs/>
        </w:rPr>
        <w:t xml:space="preserve">AI:</w:t>
      </w:r>
      <w:r>
        <w:t xml:space="preserve"> </w:t>
      </w:r>
      <w:r>
        <w:t xml:space="preserve">Management is pivoting from "AI-powered optimizations" to "AI-native" experiences (Agentic Search beta, Magical Listing). Expect heavy commentary on agentic commerce given the current market obsession with AI.</w:t>
      </w:r>
    </w:p>
    <w:p>
      <w:pPr>
        <w:pStyle w:val="FirstParagraph"/>
      </w:pPr>
      <w:r>
        <w:t xml:space="preserve">Also track the</w:t>
      </w:r>
      <w:r>
        <w:t xml:space="preserve"> </w:t>
      </w:r>
      <w:r>
        <w:rPr>
          <w:b/>
          <w:bCs/>
        </w:rPr>
        <w:t xml:space="preserve">take rate</w:t>
      </w:r>
      <w:r>
        <w:t xml:space="preserve"> </w:t>
      </w:r>
      <w:r>
        <w:t xml:space="preserve">(13.9% in Q1) and</w:t>
      </w:r>
      <w:r>
        <w:t xml:space="preserve"> </w:t>
      </w:r>
      <w:r>
        <w:rPr>
          <w:b/>
          <w:bCs/>
        </w:rPr>
        <w:t xml:space="preserve">buyer metrics</w:t>
      </w:r>
      <w:r>
        <w:t xml:space="preserve"> </w:t>
      </w:r>
      <w:r>
        <w:t xml:space="preserve">— active buyers are only growing ~1% globally, but U.S. buyers accelerated to +6% and enthusiast buyers to +8%, so the growth is coming from engagement/spend and U.S. mix rather than raw buyer additions.</w:t>
      </w:r>
    </w:p>
    <w:p>
      <w:r>
        <w:pict>
          <v:rect style="width:0;height:1.5pt" o:hralign="center" o:hrstd="t" o:hr="t"/>
        </w:pict>
      </w:r>
    </w:p>
    <w:bookmarkEnd w:id="16"/>
    <w:bookmarkStart w:id="17" w:name="X401a41edf0457934294ce27cc99ca5402f8eee4"/>
    <w:p>
      <w:pPr>
        <w:pStyle w:val="Heading2"/>
      </w:pPr>
      <w:r>
        <w:t xml:space="preserve">5. Depop, Capital Return &amp; the Legal Item</w:t>
      </w:r>
    </w:p>
    <w:p>
      <w:pPr>
        <w:pStyle w:val="Compact"/>
        <w:numPr>
          <w:ilvl w:val="0"/>
          <w:numId w:val="1004"/>
        </w:numPr>
      </w:pPr>
      <w:r>
        <w:rPr>
          <w:b/>
          <w:bCs/>
        </w:rPr>
        <w:t xml:space="preserve">Depop acquisition (~$1.2B cash):</w:t>
      </w:r>
      <w:r>
        <w:t xml:space="preserve"> </w:t>
      </w:r>
      <w:r>
        <w:t xml:space="preserve">Now expected to close</w:t>
      </w:r>
      <w:r>
        <w:t xml:space="preserve"> </w:t>
      </w:r>
      <w:r>
        <w:rPr>
          <w:b/>
          <w:bCs/>
        </w:rPr>
        <w:t xml:space="preserve">by the end of Q3 2026</w:t>
      </w:r>
      <w:r>
        <w:t xml:space="preserve">, having cleared U.S. and German regulatory review (U.K. and Australia pending). Management guided it to add ~1 point to FX-neutral GMV growth but to be a</w:t>
      </w:r>
      <w:r>
        <w:t xml:space="preserve"> </w:t>
      </w:r>
      <w:r>
        <w:rPr>
          <w:b/>
          <w:bCs/>
        </w:rPr>
        <w:t xml:space="preserve">low-single-digit dilution</w:t>
      </w:r>
      <w:r>
        <w:t xml:space="preserve"> </w:t>
      </w:r>
      <w:r>
        <w:t xml:space="preserve">to both operating income growth and EPS growth. Watch for any updated timeline or integration cost detail.</w:t>
      </w:r>
    </w:p>
    <w:p>
      <w:pPr>
        <w:pStyle w:val="Compact"/>
        <w:numPr>
          <w:ilvl w:val="0"/>
          <w:numId w:val="1004"/>
        </w:numPr>
      </w:pPr>
      <w:r>
        <w:rPr>
          <w:b/>
          <w:bCs/>
        </w:rPr>
        <w:t xml:space="preserve">Capital returns:</w:t>
      </w:r>
      <w:r>
        <w:t xml:space="preserve"> </w:t>
      </w:r>
      <w:r>
        <w:t xml:space="preserve">eBay is targeting</w:t>
      </w:r>
      <w:r>
        <w:t xml:space="preserve"> </w:t>
      </w:r>
      <w:r>
        <w:rPr>
          <w:b/>
          <w:bCs/>
        </w:rPr>
        <w:t xml:space="preserve">~</w:t>
      </w:r>
      <m:oMath>
        <m:r>
          <m:t>2</m:t>
        </m:r>
        <m:r>
          <m:t>B</m:t>
        </m:r>
        <m:r>
          <m:t>o</m:t>
        </m:r>
        <m:r>
          <m:t>f</m:t>
        </m:r>
        <m:r>
          <m:t>b</m:t>
        </m:r>
        <m:r>
          <m:t>u</m:t>
        </m:r>
        <m:r>
          <m:t>y</m:t>
        </m:r>
        <m:r>
          <m:t>b</m:t>
        </m:r>
        <m:r>
          <m:t>a</m:t>
        </m:r>
        <m:r>
          <m:t>c</m:t>
        </m:r>
        <m:r>
          <m:t>k</m:t>
        </m:r>
        <m:r>
          <m:t>s</m:t>
        </m:r>
        <m:r>
          <m:rPr>
            <m:sty m:val="p"/>
          </m:rPr>
          <m:t>*</m:t>
        </m:r>
        <m:r>
          <m:rPr>
            <m:sty m:val="p"/>
          </m:rPr>
          <m:t>*</m:t>
        </m:r>
        <m:r>
          <m:t>f</m:t>
        </m:r>
        <m:r>
          <m:t>o</m:t>
        </m:r>
        <m:r>
          <m:t>r</m:t>
        </m:r>
        <m:r>
          <m:t>2026</m:t>
        </m:r>
        <m:r>
          <m:rPr>
            <m:sty m:val="p"/>
          </m:rPr>
          <m:t>(</m:t>
        </m:r>
      </m:oMath>
      <w:r>
        <w:rPr>
          <w:b/>
          <w:bCs/>
        </w:rPr>
        <w:t xml:space="preserve">500M repurchased in Q1 at ~</w:t>
      </w:r>
      <m:oMath>
        <m:r>
          <m:t>90</m:t>
        </m:r>
        <m:r>
          <m:rPr>
            <m:sty m:val="p"/>
          </m:rPr>
          <m:t>/</m:t>
        </m:r>
        <m:r>
          <m:t>s</m:t>
        </m:r>
        <m:r>
          <m:t>h</m:t>
        </m:r>
        <m:r>
          <m:t>a</m:t>
        </m:r>
        <m:r>
          <m:t>r</m:t>
        </m:r>
        <m:r>
          <m:t>e</m:t>
        </m:r>
        <m:r>
          <m:rPr>
            <m:sty m:val="p"/>
          </m:rPr>
          <m:t>)</m:t>
        </m:r>
        <m:r>
          <m:t>p</m:t>
        </m:r>
        <m:r>
          <m:t>l</m:t>
        </m:r>
        <m:r>
          <m:t>u</m:t>
        </m:r>
        <m:r>
          <m:t>s</m:t>
        </m:r>
        <m:r>
          <m:t>a</m:t>
        </m:r>
        <m:r>
          <m:rPr>
            <m:sty m:val="p"/>
          </m:rPr>
          <m:t>*</m:t>
        </m:r>
        <m:r>
          <m:rPr>
            <m:sty m:val="p"/>
          </m:rPr>
          <m:t>*</m:t>
        </m:r>
      </m:oMath>
      <w:r>
        <w:rPr>
          <w:b/>
          <w:bCs/>
        </w:rPr>
        <w:t xml:space="preserve">0.31/quarter dividend</w:t>
      </w:r>
      <w:r>
        <w:t xml:space="preserve">. With shares now near</w:t>
      </w:r>
      <w:r>
        <w:t xml:space="preserve"> </w:t>
      </w:r>
      <m:oMath>
        <m:r>
          <m:t>110</m:t>
        </m:r>
        <m:r>
          <m:rPr>
            <m:sty m:val="p"/>
          </m:rPr>
          <m:t>,</m:t>
        </m:r>
        <m:r>
          <m:t>b</m:t>
        </m:r>
        <m:r>
          <m:t>u</m:t>
        </m:r>
        <m:r>
          <m:t>y</m:t>
        </m:r>
        <m:r>
          <m:t>b</m:t>
        </m:r>
        <m:r>
          <m:t>a</m:t>
        </m:r>
        <m:r>
          <m:t>c</m:t>
        </m:r>
        <m:r>
          <m:t>k</m:t>
        </m:r>
        <m:r>
          <m:t>p</m:t>
        </m:r>
        <m:r>
          <m:t>a</m:t>
        </m:r>
        <m:r>
          <m:t>c</m:t>
        </m:r>
        <m:r>
          <m:t>e</m:t>
        </m:r>
        <m:r>
          <m:rPr>
            <m:sty m:val="p"/>
          </m:rPr>
          <m:t>/</m:t>
        </m:r>
        <m:r>
          <m:t>p</m:t>
        </m:r>
        <m:r>
          <m:t>r</m:t>
        </m:r>
        <m:r>
          <m:t>i</m:t>
        </m:r>
        <m:r>
          <m:t>c</m:t>
        </m:r>
        <m:r>
          <m:t>i</m:t>
        </m:r>
        <m:r>
          <m:t>n</m:t>
        </m:r>
        <m:r>
          <m:t>g</m:t>
        </m:r>
        <m:r>
          <m:t>i</m:t>
        </m:r>
        <m:r>
          <m:t>s</m:t>
        </m:r>
        <m:r>
          <m:t>w</m:t>
        </m:r>
        <m:r>
          <m:t>o</m:t>
        </m:r>
        <m:r>
          <m:t>r</m:t>
        </m:r>
        <m:r>
          <m:t>t</m:t>
        </m:r>
        <m:r>
          <m:t>h</m:t>
        </m:r>
        <m:r>
          <m:t>n</m:t>
        </m:r>
        <m:r>
          <m:t>o</m:t>
        </m:r>
        <m:r>
          <m:t>t</m:t>
        </m:r>
        <m:r>
          <m:t>i</m:t>
        </m:r>
        <m:r>
          <m:t>n</m:t>
        </m:r>
        <m:r>
          <m:t>g</m:t>
        </m:r>
        <m:r>
          <m:rPr>
            <m:sty m:val="p"/>
          </m:rPr>
          <m:t>.</m:t>
        </m:r>
        <m:r>
          <m:t>T</m:t>
        </m:r>
        <m:r>
          <m:t>h</m:t>
        </m:r>
        <m:r>
          <m:t>e</m:t>
        </m:r>
        <m:r>
          <m:t>b</m:t>
        </m:r>
        <m:r>
          <m:t>a</m:t>
        </m:r>
        <m:r>
          <m:t>l</m:t>
        </m:r>
        <m:r>
          <m:t>a</m:t>
        </m:r>
        <m:r>
          <m:t>n</m:t>
        </m:r>
        <m:r>
          <m:t>c</m:t>
        </m:r>
        <m:r>
          <m:t>e</m:t>
        </m:r>
        <m:r>
          <m:t>s</m:t>
        </m:r>
        <m:r>
          <m:t>h</m:t>
        </m:r>
        <m:r>
          <m:t>e</m:t>
        </m:r>
        <m:r>
          <m:t>e</m:t>
        </m:r>
        <m:r>
          <m:t>t</m:t>
        </m:r>
        <m:r>
          <m:t>h</m:t>
        </m:r>
        <m:r>
          <m:t>o</m:t>
        </m:r>
        <m:r>
          <m:t>l</m:t>
        </m:r>
        <m:r>
          <m:t>d</m:t>
        </m:r>
        <m:r>
          <m:t>s</m:t>
        </m:r>
        <m:r>
          <m:t> </m:t>
        </m:r>
      </m:oMath>
      <w:r>
        <w:t xml:space="preserve">5.1B of cash and investments against ~$6.7B of gross debt.</w:t>
      </w:r>
    </w:p>
    <w:p>
      <w:pPr>
        <w:pStyle w:val="Compact"/>
        <w:numPr>
          <w:ilvl w:val="0"/>
          <w:numId w:val="1004"/>
        </w:numPr>
      </w:pPr>
      <w:r>
        <w:t xml:space="preserve">**</w:t>
      </w:r>
      <m:oMath>
        <m:r>
          <m:t>56</m:t>
        </m:r>
        <m:r>
          <m:t>M</m:t>
        </m:r>
        <m:r>
          <m:t>h</m:t>
        </m:r>
        <m:r>
          <m:t>a</m:t>
        </m:r>
        <m:r>
          <m:t>r</m:t>
        </m:r>
        <m:r>
          <m:t>a</m:t>
        </m:r>
        <m:r>
          <m:t>s</m:t>
        </m:r>
        <m:r>
          <m:t>s</m:t>
        </m:r>
        <m:r>
          <m:t>m</m:t>
        </m:r>
        <m:r>
          <m:t>e</m:t>
        </m:r>
        <m:r>
          <m:t>n</m:t>
        </m:r>
        <m:r>
          <m:t>t</m:t>
        </m:r>
        <m:r>
          <m:t>s</m:t>
        </m:r>
        <m:r>
          <m:t>e</m:t>
        </m:r>
        <m:r>
          <m:t>t</m:t>
        </m:r>
        <m:r>
          <m:t>t</m:t>
        </m:r>
        <m:r>
          <m:t>l</m:t>
        </m:r>
        <m:r>
          <m:t>e</m:t>
        </m:r>
        <m:r>
          <m:t>m</m:t>
        </m:r>
        <m:r>
          <m:t>e</m:t>
        </m:r>
        <m:r>
          <m:t>n</m:t>
        </m:r>
        <m:r>
          <m:t>t</m:t>
        </m:r>
        <m:r>
          <m:rPr>
            <m:sty m:val="p"/>
          </m:rPr>
          <m:t>:</m:t>
        </m:r>
        <m:r>
          <m:rPr>
            <m:sty m:val="p"/>
          </m:rPr>
          <m:t>*</m:t>
        </m:r>
        <m:r>
          <m:rPr>
            <m:sty m:val="p"/>
          </m:rPr>
          <m:t>*</m:t>
        </m:r>
        <m:r>
          <m:t>I</m:t>
        </m:r>
        <m:r>
          <m:t>n</m:t>
        </m:r>
        <m:r>
          <m:t>l</m:t>
        </m:r>
        <m:r>
          <m:t>a</m:t>
        </m:r>
        <m:r>
          <m:t>t</m:t>
        </m:r>
        <m:r>
          <m:t>e</m:t>
        </m:r>
        <m:r>
          <m:t>J</m:t>
        </m:r>
        <m:r>
          <m:t>u</m:t>
        </m:r>
        <m:r>
          <m:t>l</m:t>
        </m:r>
        <m:r>
          <m:t>y</m:t>
        </m:r>
        <m:r>
          <m:rPr>
            <m:sty m:val="p"/>
          </m:rPr>
          <m:t>,</m:t>
        </m:r>
        <m:r>
          <m:t>e</m:t>
        </m:r>
        <m:r>
          <m:t>B</m:t>
        </m:r>
        <m:r>
          <m:t>a</m:t>
        </m:r>
        <m:r>
          <m:t>y</m:t>
        </m:r>
        <m:r>
          <m:t>a</m:t>
        </m:r>
        <m:r>
          <m:t>g</m:t>
        </m:r>
        <m:r>
          <m:t>r</m:t>
        </m:r>
        <m:r>
          <m:t>e</m:t>
        </m:r>
        <m:r>
          <m:t>e</m:t>
        </m:r>
        <m:r>
          <m:t>d</m:t>
        </m:r>
        <m:r>
          <m:t>t</m:t>
        </m:r>
        <m:r>
          <m:t>o</m:t>
        </m:r>
        <m:r>
          <m:t>p</m:t>
        </m:r>
        <m:r>
          <m:t>a</m:t>
        </m:r>
        <m:r>
          <m:t>y</m:t>
        </m:r>
        <m:r>
          <m:t> </m:t>
        </m:r>
      </m:oMath>
      <w:r>
        <w:t xml:space="preserve">56M (of which ~$46M from the company) to settle the 2019 cyberstalking case. This is a legacy legal overhang being resolved; expect it to be treated as a one-time/non-core item, but note it as a possible GAAP EPS wrinkle and reputational footnote.</w:t>
      </w:r>
    </w:p>
    <w:p>
      <w:r>
        <w:pict>
          <v:rect style="width:0;height:1.5pt" o:hralign="center" o:hrstd="t" o:hr="t"/>
        </w:pict>
      </w:r>
    </w:p>
    <w:bookmarkEnd w:id="17"/>
    <w:bookmarkStart w:id="18" w:name="X12b7620edf30660f685fbc88d5ea5e20b4f4707"/>
    <w:p>
      <w:pPr>
        <w:pStyle w:val="Heading2"/>
      </w:pPr>
      <w:r>
        <w:t xml:space="preserve">6. Macro Backdrop</w:t>
      </w:r>
    </w:p>
    <w:p>
      <w:pPr>
        <w:pStyle w:val="FirstParagraph"/>
      </w:pPr>
      <w:r>
        <w:t xml:space="preserve">The consumer environment is mixed and volatile heading into the print:</w:t>
      </w:r>
    </w:p>
    <w:p>
      <w:pPr>
        <w:pStyle w:val="Compact"/>
        <w:numPr>
          <w:ilvl w:val="0"/>
          <w:numId w:val="1005"/>
        </w:numPr>
      </w:pPr>
      <w:r>
        <w:t xml:space="preserve">eBay described the</w:t>
      </w:r>
      <w:r>
        <w:t xml:space="preserve"> </w:t>
      </w:r>
      <w:r>
        <w:rPr>
          <w:b/>
          <w:bCs/>
        </w:rPr>
        <w:t xml:space="preserve">U.S. consumer as resilient</w:t>
      </w:r>
      <w:r>
        <w:t xml:space="preserve"> </w:t>
      </w:r>
      <w:r>
        <w:t xml:space="preserve">but</w:t>
      </w:r>
      <w:r>
        <w:t xml:space="preserve"> </w:t>
      </w:r>
      <w:r>
        <w:rPr>
          <w:b/>
          <w:bCs/>
        </w:rPr>
        <w:t xml:space="preserve">Europe as more challenged</w:t>
      </w:r>
      <w:r>
        <w:t xml:space="preserve"> </w:t>
      </w:r>
      <w:r>
        <w:t xml:space="preserve">(weaker consumer confidence) — a divergence to watch given ~44% of GMV is international.</w:t>
      </w:r>
    </w:p>
    <w:p>
      <w:pPr>
        <w:pStyle w:val="Compact"/>
        <w:numPr>
          <w:ilvl w:val="0"/>
          <w:numId w:val="1005"/>
        </w:numPr>
      </w:pPr>
      <w:r>
        <w:t xml:space="preserve">Broader recent data points cut both ways:</w:t>
      </w:r>
      <w:r>
        <w:t xml:space="preserve"> </w:t>
      </w:r>
      <w:r>
        <w:rPr>
          <w:b/>
          <w:bCs/>
        </w:rPr>
        <w:t xml:space="preserve">Wayfair</w:t>
      </w:r>
      <w:r>
        <w:t xml:space="preserve"> </w:t>
      </w:r>
      <w:r>
        <w:t xml:space="preserve">just reported its strongest U.S. e-commerce growth in five years and</w:t>
      </w:r>
      <w:r>
        <w:t xml:space="preserve"> </w:t>
      </w:r>
      <w:r>
        <w:rPr>
          <w:b/>
          <w:bCs/>
        </w:rPr>
        <w:t xml:space="preserve">Amazon</w:t>
      </w:r>
      <w:r>
        <w:t xml:space="preserve"> </w:t>
      </w:r>
      <w:r>
        <w:t xml:space="preserve">surged past a $3T market cap on strong results — supportive signals for online commerce. But there's also macro anxiety (elevated gas prices tied to the Iran conflict, Fed rate-hike debate, and high-profile caution about equity valuations).</w:t>
      </w:r>
    </w:p>
    <w:p>
      <w:pPr>
        <w:pStyle w:val="Compact"/>
        <w:numPr>
          <w:ilvl w:val="0"/>
          <w:numId w:val="1005"/>
        </w:numPr>
      </w:pPr>
      <w:r>
        <w:t xml:space="preserve">eBay's pitch is that it is</w:t>
      </w:r>
      <w:r>
        <w:t xml:space="preserve"> </w:t>
      </w:r>
      <w:r>
        <w:rPr>
          <w:b/>
          <w:bCs/>
        </w:rPr>
        <w:t xml:space="preserve">counter-cyclically resilient</w:t>
      </w:r>
      <w:r>
        <w:t xml:space="preserve"> </w:t>
      </w:r>
      <w:r>
        <w:t xml:space="preserve">— in tougher times, consumers turn to used/refurbished/value inventory, which is eBay's sweet spot. A weaker macro could actually reinforce the recommerce narrative.</w:t>
      </w:r>
    </w:p>
    <w:p>
      <w:r>
        <w:pict>
          <v:rect style="width:0;height:1.5pt" o:hralign="center" o:hrstd="t" o:hr="t"/>
        </w:pict>
      </w:r>
    </w:p>
    <w:bookmarkEnd w:id="18"/>
    <w:bookmarkStart w:id="19" w:name="X58405cfeb236528800c384489c48fd77eb7236a"/>
    <w:p>
      <w:pPr>
        <w:pStyle w:val="Heading2"/>
      </w:pPr>
      <w:r>
        <w:t xml:space="preserve">7. Bottom Line for Investors</w:t>
      </w:r>
    </w:p>
    <w:p>
      <w:pPr>
        <w:pStyle w:val="FirstParagraph"/>
      </w:pPr>
      <w:r>
        <w:rPr>
          <w:b/>
          <w:bCs/>
        </w:rPr>
        <w:t xml:space="preserve">Bull case:</w:t>
      </w:r>
      <w:r>
        <w:t xml:space="preserve"> </w:t>
      </w:r>
      <w:r>
        <w:t xml:space="preserve">Strategic priorities are compounding, GMV re-accelerated meaningfully in early 2026, advertising and shipping are structural take-rate/margin tailwinds, AI is driving real seller/buyer KPI gains, and capital return is robust. A beat-and-raise (as in Q1) would validate the re-rating.</w:t>
      </w:r>
    </w:p>
    <w:p>
      <w:pPr>
        <w:pStyle w:val="BodyText"/>
      </w:pPr>
      <w:r>
        <w:rPr>
          <w:b/>
          <w:bCs/>
        </w:rPr>
        <w:t xml:space="preserve">Bear case / risks:</w:t>
      </w:r>
      <w:r>
        <w:t xml:space="preserve"> </w:t>
      </w:r>
      <w:r>
        <w:t xml:space="preserve">Consensus already sits at the top of guidance, so the beat bar is high. Growth is</w:t>
      </w:r>
      <w:r>
        <w:t xml:space="preserve"> </w:t>
      </w:r>
      <w:r>
        <w:rPr>
          <w:i/>
          <w:iCs/>
        </w:rPr>
        <w:t xml:space="preserve">guided</w:t>
      </w:r>
      <w:r>
        <w:t xml:space="preserve"> </w:t>
      </w:r>
      <w:r>
        <w:t xml:space="preserve">to decelerate sharply on tough comps (Klarna, marketing efficiencies, bullion). Depop is dilutive near-term. International/Europe remains soft, buyer counts are barely growing, and the stock has already run ~26% YTD — leaving less margin for error.</w:t>
      </w:r>
    </w:p>
    <w:p>
      <w:pPr>
        <w:pStyle w:val="BodyText"/>
      </w:pPr>
      <w:r>
        <w:rPr>
          <w:b/>
          <w:bCs/>
        </w:rPr>
        <w:t xml:space="preserve">Key things to listen for on the call:</w:t>
      </w:r>
    </w:p>
    <w:p>
      <w:pPr>
        <w:pStyle w:val="Compact"/>
        <w:numPr>
          <w:ilvl w:val="0"/>
          <w:numId w:val="1006"/>
        </w:numPr>
      </w:pPr>
      <w:r>
        <w:t xml:space="preserve">Whether the</w:t>
      </w:r>
      <w:r>
        <w:t xml:space="preserve"> </w:t>
      </w:r>
      <w:r>
        <w:rPr>
          <w:b/>
          <w:bCs/>
        </w:rPr>
        <w:t xml:space="preserve">full-year outlook is raised again</w:t>
      </w:r>
      <w:r>
        <w:t xml:space="preserve">, and how much upside is reinvested vs. dropped to EPS.</w:t>
      </w:r>
    </w:p>
    <w:p>
      <w:pPr>
        <w:pStyle w:val="Compact"/>
        <w:numPr>
          <w:ilvl w:val="0"/>
          <w:numId w:val="1006"/>
        </w:numPr>
      </w:pPr>
      <w:r>
        <w:rPr>
          <w:b/>
          <w:bCs/>
        </w:rPr>
        <w:t xml:space="preserve">July/Q3 quarter-to-date commentary</w:t>
      </w:r>
      <w:r>
        <w:t xml:space="preserve"> </w:t>
      </w:r>
      <w:r>
        <w:t xml:space="preserve">on the consumer, especially the U.S.–Europe divergence.</w:t>
      </w:r>
    </w:p>
    <w:p>
      <w:pPr>
        <w:pStyle w:val="Compact"/>
        <w:numPr>
          <w:ilvl w:val="0"/>
          <w:numId w:val="1006"/>
        </w:numPr>
      </w:pPr>
      <w:r>
        <w:rPr>
          <w:b/>
          <w:bCs/>
        </w:rPr>
        <w:t xml:space="preserve">Take rate and advertising</w:t>
      </w:r>
      <w:r>
        <w:t xml:space="preserve"> </w:t>
      </w:r>
      <w:r>
        <w:t xml:space="preserve">trajectory.</w:t>
      </w:r>
    </w:p>
    <w:p>
      <w:pPr>
        <w:pStyle w:val="Compact"/>
        <w:numPr>
          <w:ilvl w:val="0"/>
          <w:numId w:val="1006"/>
        </w:numPr>
      </w:pPr>
      <w:r>
        <w:rPr>
          <w:b/>
          <w:bCs/>
        </w:rPr>
        <w:t xml:space="preserve">eBay Live, vehicles, and C2C (Australia)</w:t>
      </w:r>
      <w:r>
        <w:t xml:space="preserve"> </w:t>
      </w:r>
      <w:r>
        <w:t xml:space="preserve">scaling updates.</w:t>
      </w:r>
    </w:p>
    <w:p>
      <w:pPr>
        <w:pStyle w:val="Compact"/>
        <w:numPr>
          <w:ilvl w:val="0"/>
          <w:numId w:val="1006"/>
        </w:numPr>
      </w:pPr>
      <w:r>
        <w:rPr>
          <w:b/>
          <w:bCs/>
        </w:rPr>
        <w:t xml:space="preserve">Depop</w:t>
      </w:r>
      <w:r>
        <w:t xml:space="preserve"> </w:t>
      </w:r>
      <w:r>
        <w:t xml:space="preserve">closing timeline and integration economics.</w:t>
      </w:r>
    </w:p>
    <w:p>
      <w:pPr>
        <w:pStyle w:val="Compact"/>
        <w:numPr>
          <w:ilvl w:val="0"/>
          <w:numId w:val="1006"/>
        </w:numPr>
      </w:pPr>
      <w:r>
        <w:rPr>
          <w:b/>
          <w:bCs/>
        </w:rPr>
        <w:t xml:space="preserve">AI / agentic commerce</w:t>
      </w:r>
      <w:r>
        <w:t xml:space="preserve"> </w:t>
      </w:r>
      <w:r>
        <w:t xml:space="preserve">strategy and any monetization framing.</w:t>
      </w:r>
    </w:p>
    <w:p>
      <w:pPr>
        <w:pStyle w:val="FirstParagraph"/>
      </w:pPr>
      <w:r>
        <w:rPr>
          <w:i/>
          <w:iCs/>
        </w:rPr>
        <w:t xml:space="preserve">Note: All figures above are drawn from eBay's Q1 2026 earnings release and call (reported April 29, 2026), recent news coverage, and market pricing through August 4, 2026. Verify against the actual Q2 release when published.</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2026-08-05T01:18:47Z</dcterms:created>
  <dcterms:modified xsi:type="dcterms:W3CDTF">2026-08-05T01:18:47Z</dcterms:modified>
</cp:coreProperties>
</file>

<file path=docProps/custom.xml><?xml version="1.0" encoding="utf-8"?>
<Properties xmlns="http://schemas.openxmlformats.org/officeDocument/2006/custom-properties" xmlns:vt="http://schemas.openxmlformats.org/officeDocument/2006/docPropsVTypes"/>
</file>