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ebay-inc-ebay--q2-2026-earnings-preview"/>
    <w:p>
      <w:pPr>
        <w:pStyle w:val="Heading1"/>
      </w:pPr>
      <w:r>
        <w:t xml:space="preserve">eBay Inc. (EBAY) — Q2 2026 Earnings Preview</w:t>
      </w:r>
    </w:p>
    <w:p>
      <w:pPr>
        <w:pStyle w:val="FirstParagraph"/>
      </w:pPr>
      <w:r>
        <w:rPr>
          <w:b/>
          <w:bCs/>
        </w:rPr>
        <w:t xml:space="preserve">Report Date:</w:t>
      </w:r>
      <w:r>
        <w:t xml:space="preserve"> </w:t>
      </w:r>
      <w:r>
        <w:t xml:space="preserve">Wednesday, August 5, 2026 (after market close) |</w:t>
      </w:r>
      <w:r>
        <w:t xml:space="preserve"> </w:t>
      </w:r>
      <w:r>
        <w:rPr>
          <w:b/>
          <w:bCs/>
        </w:rPr>
        <w:t xml:space="preserve">Call:</w:t>
      </w:r>
      <w:r>
        <w:t xml:space="preserve"> </w:t>
      </w:r>
      <w:r>
        <w:t xml:space="preserve">5:30 PM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EBAY shares have had a strong run in 2026, rallying from roughly $87 in early January to a 52-week high near $119 in late July before pulling back to the</w:t>
      </w:r>
      <w:r>
        <w:t xml:space="preserve"> </w:t>
      </w:r>
      <m:oMath>
        <m:r>
          <m:t>107</m:t>
        </m:r>
        <m:r>
          <m:rPr>
            <m:sty m:val="p"/>
          </m:rPr>
          <m:t>–</m:t>
        </m:r>
      </m:oMath>
      <w:r>
        <w:t xml:space="preserve">114 range heading into the print. The stock's 50-day moving average sits around $111 and its 200-day around $101, reflecting a sustained uptrend built on several consecutive quarters of upside surprises. Wall Street sentiment is described as "neutral-to-slightly positive," with the Street looking for</w:t>
      </w:r>
      <w:r>
        <w:t xml:space="preserve"> </w:t>
      </w:r>
      <w:r>
        <w:rPr>
          <w:b/>
          <w:bCs/>
        </w:rPr>
        <w:t xml:space="preserve">revenue of roughly $3.02 billion (+10.5–10.7% y/y)</w:t>
      </w:r>
      <w:r>
        <w:t xml:space="preserve"> </w:t>
      </w:r>
      <w:r>
        <w:t xml:space="preserve">and</w:t>
      </w:r>
      <w:r>
        <w:t xml:space="preserve"> </w:t>
      </w:r>
      <w:r>
        <w:rPr>
          <w:b/>
          <w:bCs/>
        </w:rPr>
        <w:t xml:space="preserve">EPS around</w:t>
      </w:r>
      <w:r>
        <w:rPr>
          <w:b/>
          <w:bCs/>
        </w:rPr>
        <w:t xml:space="preserve"> </w:t>
      </w:r>
      <m:oMath>
        <m:r>
          <m:t>1.50</m:t>
        </m:r>
        <m:r>
          <m:rPr>
            <m:sty m:val="p"/>
          </m:rPr>
          <m:t>–</m:t>
        </m:r>
      </m:oMath>
      <w:r>
        <w:rPr>
          <w:b/>
          <w:bCs/>
        </w:rPr>
        <w:t xml:space="preserve">1.51</w:t>
      </w:r>
      <w:r>
        <w:t xml:space="preserve">. Analyst ratings skew toward Hold (consensus roughly 14 Buy / 18 Hold / 1 Sell per one tally, with a mean price target around</w:t>
      </w:r>
      <w:r>
        <w:t xml:space="preserve"> </w:t>
      </w:r>
      <m:oMath>
        <m:r>
          <m:t>110</m:t>
        </m:r>
        <m:r>
          <m:rPr>
            <m:sty m:val="p"/>
          </m:rPr>
          <m:t>–</m:t>
        </m:r>
      </m:oMath>
      <w:r>
        <w:t xml:space="preserve">111 — modestly below the current share price), though price targets have been revised upward over the past three months.</w:t>
      </w:r>
    </w:p>
    <w:p>
      <w:pPr>
        <w:pStyle w:val="BodyText"/>
      </w:pPr>
      <w:r>
        <w:t xml:space="preserve">Notably, eBay's own Q2 guidance issued alongside Q1 results calls for non-GAAP EPS of</w:t>
      </w:r>
      <w:r>
        <w:t xml:space="preserve"> </w:t>
      </w:r>
      <m:oMath>
        <m:r>
          <m:t>1.46</m:t>
        </m:r>
        <m:r>
          <m:rPr>
            <m:sty m:val="p"/>
          </m:rPr>
          <m:t>–</m:t>
        </m:r>
      </m:oMath>
      <w:r>
        <w:rPr>
          <w:b/>
          <w:bCs/>
        </w:rPr>
        <w:t xml:space="preserve">1.51</w:t>
      </w:r>
      <w:r>
        <w:t xml:space="preserve">, meaning consensus sits at the very top end (or slightly above) management's own range — a setup where an "in-line" beat is essentially required just to clear the bar, and where guidance for Q3/full-year commentary may matter more than the Q2 print itself.</w:t>
      </w:r>
    </w:p>
    <w:bookmarkEnd w:id="9"/>
    <w:bookmarkStart w:id="10" w:name="what-happened-last-quarter-q1-2026-recap"/>
    <w:p>
      <w:pPr>
        <w:pStyle w:val="Heading2"/>
      </w:pPr>
      <w:r>
        <w:t xml:space="preserve">What Happened Last Quarter (Q1 2026 Recap)</w:t>
      </w:r>
    </w:p>
    <w:p>
      <w:pPr>
        <w:pStyle w:val="FirstParagraph"/>
      </w:pPr>
      <w:r>
        <w:t xml:space="preserve">eBay's Q1 was a clean beat-and-raise. Management noted GMV rose by 14% to over $22 billion, while revenue grew 17% to more than $3 billion, with non-GAAP operating income up 18% to over $900 million and non-GAAP EPS up 21% to $1.66. Growth was broad-based: focus categories, C2C, and recommerce — now about 70% of total GMV — each grew faster than the overall business, and collectively grew in the high teens. U.S. GMV growth was particularly strong, up nearly 27% in Q1, while international GMV grew only modestly (~2% FX-neutral) as Europe remained more macro-challenged.</w:t>
      </w:r>
    </w:p>
    <w:bookmarkEnd w:id="10"/>
    <w:bookmarkStart w:id="11" w:name="the-q2-guidance-bar"/>
    <w:p>
      <w:pPr>
        <w:pStyle w:val="Heading2"/>
      </w:pPr>
      <w:r>
        <w:t xml:space="preserve">The Q2 Guidance Bar</w:t>
      </w:r>
    </w:p>
    <w:p>
      <w:pPr>
        <w:pStyle w:val="FirstParagraph"/>
      </w:pPr>
      <w:r>
        <w:t xml:space="preserve">Management's Q2 outlook, given in April, calls for:</w:t>
      </w:r>
    </w:p>
    <w:p>
      <w:pPr>
        <w:pStyle w:val="Compact"/>
        <w:numPr>
          <w:ilvl w:val="0"/>
          <w:numId w:val="1001"/>
        </w:numPr>
      </w:pPr>
      <w:r>
        <w:rPr>
          <w:b/>
          <w:bCs/>
        </w:rPr>
        <w:t xml:space="preserve">GMV of</w:t>
      </w:r>
      <w:r>
        <w:rPr>
          <w:b/>
          <w:bCs/>
        </w:rPr>
        <w:t xml:space="preserve"> </w:t>
      </w:r>
      <m:oMath>
        <m:r>
          <m:t>21.3</m:t>
        </m:r>
        <m:r>
          <m:rPr>
            <m:sty m:val="p"/>
          </m:rPr>
          <m:t>–</m:t>
        </m:r>
      </m:oMath>
      <w:r>
        <w:rPr>
          <w:b/>
          <w:bCs/>
        </w:rPr>
        <w:t xml:space="preserve">21.7 billion</w:t>
      </w:r>
      <w:r>
        <w:t xml:space="preserve">, or 8–10% FX-neutral growth</w:t>
      </w:r>
    </w:p>
    <w:p>
      <w:pPr>
        <w:pStyle w:val="Compact"/>
        <w:numPr>
          <w:ilvl w:val="0"/>
          <w:numId w:val="1001"/>
        </w:numPr>
      </w:pPr>
      <w:r>
        <w:rPr>
          <w:b/>
          <w:bCs/>
        </w:rPr>
        <w:t xml:space="preserve">Revenue of</w:t>
      </w:r>
      <w:r>
        <w:rPr>
          <w:b/>
          <w:bCs/>
        </w:rPr>
        <w:t xml:space="preserve"> </w:t>
      </w:r>
      <m:oMath>
        <m:r>
          <m:t>2.97</m:t>
        </m:r>
        <m:r>
          <m:rPr>
            <m:sty m:val="p"/>
          </m:rPr>
          <m:t>–</m:t>
        </m:r>
      </m:oMath>
      <w:r>
        <w:rPr>
          <w:b/>
          <w:bCs/>
        </w:rPr>
        <w:t xml:space="preserve">3.03 billion</w:t>
      </w:r>
      <w:r>
        <w:t xml:space="preserve">, also 8–10% FX-neutral growth</w:t>
      </w:r>
    </w:p>
    <w:p>
      <w:pPr>
        <w:pStyle w:val="Compact"/>
        <w:numPr>
          <w:ilvl w:val="0"/>
          <w:numId w:val="1001"/>
        </w:numPr>
      </w:pPr>
      <w:r>
        <w:rPr>
          <w:b/>
          <w:bCs/>
        </w:rPr>
        <w:t xml:space="preserve">Non-GAAP operating margin of 27.6–28.1%</w:t>
      </w:r>
      <w:r>
        <w:t xml:space="preserve">, with operating income growth of 6–10%</w:t>
      </w:r>
    </w:p>
    <w:p>
      <w:pPr>
        <w:pStyle w:val="Compact"/>
        <w:numPr>
          <w:ilvl w:val="0"/>
          <w:numId w:val="1001"/>
        </w:numPr>
      </w:pPr>
      <w:r>
        <w:rPr>
          <w:b/>
          <w:bCs/>
        </w:rPr>
        <w:t xml:space="preserve">Non-GAAP EPS of</w:t>
      </w:r>
      <w:r>
        <w:rPr>
          <w:b/>
          <w:bCs/>
        </w:rPr>
        <w:t xml:space="preserve"> </w:t>
      </w:r>
      <m:oMath>
        <m:r>
          <m:t>1.46</m:t>
        </m:r>
        <m:r>
          <m:rPr>
            <m:sty m:val="p"/>
          </m:rPr>
          <m:t>–</m:t>
        </m:r>
      </m:oMath>
      <w:r>
        <w:rPr>
          <w:b/>
          <w:bCs/>
        </w:rPr>
        <w:t xml:space="preserve">1.51</w:t>
      </w:r>
      <w:r>
        <w:t xml:space="preserve">, up 7–11% y/y</w:t>
      </w:r>
    </w:p>
    <w:p>
      <w:pPr>
        <w:pStyle w:val="FirstParagraph"/>
      </w:pPr>
      <w:r>
        <w:t xml:space="preserve">Management was explicit that the deceleration from Q1's ~14% GMV growth to Q2's 8–10% guide reflects tough comps: lapping last year's lower-funnel marketing efficiencies and the U.S. Klarna partnership, both of which became "noticeable growth drivers" in Q2 2025, plus the expected normalization of gold/silver bullion volumes after a Q1 spike. Investors should watch whether the deceleration matches this scripted lapping dynamic or whether underlying demand trends have softened further, especially in light of commentary about weakening consumer sentiment (even as spending held up) raised on the Q1 call.</w:t>
      </w:r>
    </w:p>
    <w:bookmarkEnd w:id="11"/>
    <w:bookmarkStart w:id="12" w:name="key-themes-and-metrics-to-watch"/>
    <w:p>
      <w:pPr>
        <w:pStyle w:val="Heading2"/>
      </w:pPr>
      <w:r>
        <w:t xml:space="preserve">Key Themes and Metrics to Watch</w:t>
      </w:r>
    </w:p>
    <w:p>
      <w:pPr>
        <w:pStyle w:val="FirstParagraph"/>
      </w:pPr>
      <w:r>
        <w:rPr>
          <w:b/>
          <w:bCs/>
        </w:rPr>
        <w:t xml:space="preserve">1. Focus categories, C2C, and eBay Live momentum.</w:t>
      </w:r>
      <w:r>
        <w:t xml:space="preserve"> </w:t>
      </w:r>
      <w:r>
        <w:t xml:space="preserve">These "strategic priority" areas made up ~70% of GMV in Q1 and are the crux of eBay's growth narrative. Focus category GMV grew 24% in Q1, aided by collectibles (Pokémon's 30th anniversary, trading cards, Goldin's record $16M card sale) and a Motors/Parts &amp; Accessories business that had its strongest growth since 2021. eBay Live scaled to an annualized GMV run rate more than 8x higher year-over-year in recent weeks as of the Q1 call — investors will want to see this momentum sustained rather than fading as the bullion/collectibles tailwinds normalize.</w:t>
      </w:r>
    </w:p>
    <w:p>
      <w:pPr>
        <w:pStyle w:val="BodyText"/>
      </w:pPr>
      <w:r>
        <w:rPr>
          <w:b/>
          <w:bCs/>
        </w:rPr>
        <w:t xml:space="preserve">2. Advertising growth.</w:t>
      </w:r>
      <w:r>
        <w:t xml:space="preserve"> </w:t>
      </w:r>
      <w:r>
        <w:t xml:space="preserve">First-party ads grew 28% to $555 million in Q1 and total advertising revenue hit $581 million, representing GMV penetration over 2.6%. Management guided for ads to keep outpacing GMV growth for the "foreseeable future," so any deceleration here would be a notable red flag on take-rate quality.</w:t>
      </w:r>
    </w:p>
    <w:p>
      <w:pPr>
        <w:pStyle w:val="BodyText"/>
      </w:pPr>
      <w:r>
        <w:rPr>
          <w:b/>
          <w:bCs/>
        </w:rPr>
        <w:t xml:space="preserve">3. Take rate and margin trajectory.</w:t>
      </w:r>
      <w:r>
        <w:t xml:space="preserve"> </w:t>
      </w:r>
      <w:r>
        <w:t xml:space="preserve">Take rate was 13.9% in Q1, up modestly y/y, aided by advertising, shipping initiatives, and lapping of the UK C2C buyer fee, partially offset by eBay Live's rapid (lower-take-rate) growth and category/ASP mix shifts. Watch transaction losses, which rose 70% y/y in Q1 (management called this expected, tied to newer shipping programs, with loss trends improving late in the quarter) — a continued climb here would pressure margins.</w:t>
      </w:r>
    </w:p>
    <w:p>
      <w:pPr>
        <w:pStyle w:val="BodyText"/>
      </w:pPr>
      <w:r>
        <w:rPr>
          <w:b/>
          <w:bCs/>
        </w:rPr>
        <w:t xml:space="preserve">4. Buyer trends.</w:t>
      </w:r>
      <w:r>
        <w:t xml:space="preserve"> </w:t>
      </w:r>
      <w:r>
        <w:t xml:space="preserve">Trailing 12-month active buyers grew just 1% to ~136 million in Q1, but U.S. buyer growth accelerated to nearly 6%, and U.S. enthusiast buyers grew 8%. International buyer/GMV growth remains the softer link given macro pressure in the UK/Germany — geographic divergence (US strength vs. international softness) is a theme to track again.</w:t>
      </w:r>
    </w:p>
    <w:p>
      <w:pPr>
        <w:pStyle w:val="BodyText"/>
      </w:pPr>
      <w:r>
        <w:rPr>
          <w:b/>
          <w:bCs/>
        </w:rPr>
        <w:t xml:space="preserve">5. Depop integration and full-year guide.</w:t>
      </w:r>
      <w:r>
        <w:t xml:space="preserve"> </w:t>
      </w:r>
      <w:r>
        <w:t xml:space="preserve">The ~$1.2 billion Depop acquisition is expected to close by the end of Q3 2026, having already received U.S. and German regulatory clearance, with UK and Australia reviews in progress. Management expects Depop to add roughly 1 point to full-year FX-neutral GMV growth but represents a low-single-digit headwind to operating income growth and dilutes non-GAAP EPS growth by low single digits. Investors should listen for an updated timeline and financial framework now that closing is imminent. Full-year 2026 guidance (ex-Depop) calls for GMV growth of 7–7.5% FX-neutral, operating income growth of 9–11%, and EPS growth roughly in line with operating income — any upward or downward revision to these targets on the call would be highly market-moving given the stock's re-rating this year.</w:t>
      </w:r>
    </w:p>
    <w:p>
      <w:pPr>
        <w:pStyle w:val="BodyText"/>
      </w:pPr>
      <w:r>
        <w:rPr>
          <w:b/>
          <w:bCs/>
        </w:rPr>
        <w:t xml:space="preserve">6. Capital returns.</w:t>
      </w:r>
      <w:r>
        <w:t xml:space="preserve"> </w:t>
      </w:r>
      <w:r>
        <w:t xml:space="preserve">eBay is targeting ~$2 billion of share repurchases for 2026 and pays a $0.31/share quarterly dividend; the board added an incremental $2.0 billion to the buyback authorization in February 2026, on top of the $5.0 billion authorized in 2024, leaving</w:t>
      </w:r>
      <w:r>
        <w:t xml:space="preserve"> </w:t>
      </w:r>
      <m:oMath>
        <m:r>
          <m:t>2.3</m:t>
        </m:r>
        <m:r>
          <m:t>b</m:t>
        </m:r>
        <m:r>
          <m:t>i</m:t>
        </m:r>
        <m:r>
          <m:t>l</m:t>
        </m:r>
        <m:r>
          <m:t>l</m:t>
        </m:r>
        <m:r>
          <m:t>i</m:t>
        </m:r>
        <m:r>
          <m:t>o</m:t>
        </m:r>
        <m:r>
          <m:t>n</m:t>
        </m:r>
        <m:r>
          <m:t>a</m:t>
        </m:r>
        <m:r>
          <m:t>v</m:t>
        </m:r>
        <m:r>
          <m:t>a</m:t>
        </m:r>
        <m:r>
          <m:t>i</m:t>
        </m:r>
        <m:r>
          <m:t>l</m:t>
        </m:r>
        <m:r>
          <m:t>a</m:t>
        </m:r>
        <m:r>
          <m:t>b</m:t>
        </m:r>
        <m:r>
          <m:t>l</m:t>
        </m:r>
        <m:r>
          <m:t>e</m:t>
        </m:r>
        <m:r>
          <m:t>a</m:t>
        </m:r>
        <m:r>
          <m:t>s</m:t>
        </m:r>
        <m:r>
          <m:t>o</m:t>
        </m:r>
        <m:r>
          <m:t>f</m:t>
        </m:r>
        <m:r>
          <m:t>Q</m:t>
        </m:r>
        <m:r>
          <m:t>1</m:t>
        </m:r>
        <m:r>
          <m:rPr>
            <m:sty m:val="p"/>
          </m:rPr>
          <m:t>.</m:t>
        </m:r>
        <m:r>
          <m:t>W</m:t>
        </m:r>
        <m:r>
          <m:t>a</m:t>
        </m:r>
        <m:r>
          <m:t>t</m:t>
        </m:r>
        <m:r>
          <m:t>c</m:t>
        </m:r>
        <m:r>
          <m:t>h</m:t>
        </m:r>
        <m:r>
          <m:t>f</m:t>
        </m:r>
        <m:r>
          <m:t>o</m:t>
        </m:r>
        <m:r>
          <m:t>r</m:t>
        </m:r>
        <m:r>
          <m:t>c</m:t>
        </m:r>
        <m:r>
          <m:t>o</m:t>
        </m:r>
        <m:r>
          <m:t>n</m:t>
        </m:r>
        <m:r>
          <m:t>t</m:t>
        </m:r>
        <m:r>
          <m:t>i</m:t>
        </m:r>
        <m:r>
          <m:t>n</m:t>
        </m:r>
        <m:r>
          <m:t>u</m:t>
        </m:r>
        <m:r>
          <m:t>e</m:t>
        </m:r>
        <m:r>
          <m:t>d</m:t>
        </m:r>
        <m:r>
          <m:t>a</m:t>
        </m:r>
        <m:r>
          <m:t>g</m:t>
        </m:r>
        <m:r>
          <m:t>g</m:t>
        </m:r>
        <m:r>
          <m:t>r</m:t>
        </m:r>
        <m:r>
          <m:t>e</m:t>
        </m:r>
        <m:r>
          <m:t>s</m:t>
        </m:r>
        <m:r>
          <m:t>s</m:t>
        </m:r>
        <m:r>
          <m:t>i</m:t>
        </m:r>
        <m:r>
          <m:t>v</m:t>
        </m:r>
        <m:r>
          <m:t>e</m:t>
        </m:r>
        <m:r>
          <m:t>b</m:t>
        </m:r>
        <m:r>
          <m:t>u</m:t>
        </m:r>
        <m:r>
          <m:t>y</m:t>
        </m:r>
        <m:r>
          <m:t>b</m:t>
        </m:r>
        <m:r>
          <m:t>a</m:t>
        </m:r>
        <m:r>
          <m:t>c</m:t>
        </m:r>
        <m:r>
          <m:t>k</m:t>
        </m:r>
        <m:r>
          <m:t>p</m:t>
        </m:r>
        <m:r>
          <m:t>a</m:t>
        </m:r>
        <m:r>
          <m:t>c</m:t>
        </m:r>
        <m:r>
          <m:t>e</m:t>
        </m:r>
        <m:r>
          <m:rPr>
            <m:sty m:val="p"/>
          </m:rPr>
          <m:t>,</m:t>
        </m:r>
        <m:r>
          <m:t>e</m:t>
        </m:r>
        <m:r>
          <m:t>s</m:t>
        </m:r>
        <m:r>
          <m:t>p</m:t>
        </m:r>
        <m:r>
          <m:t>e</m:t>
        </m:r>
        <m:r>
          <m:t>c</m:t>
        </m:r>
        <m:r>
          <m:t>i</m:t>
        </m:r>
        <m:r>
          <m:t>a</m:t>
        </m:r>
        <m:r>
          <m:t>l</m:t>
        </m:r>
        <m:r>
          <m:t>l</m:t>
        </m:r>
        <m:r>
          <m:t>y</m:t>
        </m:r>
        <m:r>
          <m:t>w</m:t>
        </m:r>
        <m:r>
          <m:t>i</m:t>
        </m:r>
        <m:r>
          <m:t>t</m:t>
        </m:r>
        <m:r>
          <m:t>h</m:t>
        </m:r>
        <m:r>
          <m:t>t</m:t>
        </m:r>
        <m:r>
          <m:t>h</m:t>
        </m:r>
        <m:r>
          <m:t>e</m:t>
        </m:r>
        <m:r>
          <m:t>s</m:t>
        </m:r>
        <m:r>
          <m:t>t</m:t>
        </m:r>
        <m:r>
          <m:t>o</m:t>
        </m:r>
        <m:r>
          <m:t>c</m:t>
        </m:r>
        <m:r>
          <m:t>k</m:t>
        </m:r>
        <m:r>
          <m:t>w</m:t>
        </m:r>
        <m:r>
          <m:t>e</m:t>
        </m:r>
        <m:r>
          <m:t>l</m:t>
        </m:r>
        <m:r>
          <m:t>l</m:t>
        </m:r>
        <m:r>
          <m:t>a</m:t>
        </m:r>
        <m:r>
          <m:t>b</m:t>
        </m:r>
        <m:r>
          <m:t>o</m:t>
        </m:r>
        <m:r>
          <m:t>v</m:t>
        </m:r>
        <m:r>
          <m:t>e</m:t>
        </m:r>
        <m:r>
          <m:t>w</m:t>
        </m:r>
        <m:r>
          <m:t>h</m:t>
        </m:r>
        <m:r>
          <m:t>e</m:t>
        </m:r>
        <m:r>
          <m:t>r</m:t>
        </m:r>
        <m:r>
          <m:t>e</m:t>
        </m:r>
        <m:r>
          <m:t>p</m:t>
        </m:r>
        <m:r>
          <m:t>r</m:t>
        </m:r>
        <m:r>
          <m:t>i</m:t>
        </m:r>
        <m:r>
          <m:t>o</m:t>
        </m:r>
        <m:r>
          <m:t>r</m:t>
        </m:r>
        <m:r>
          <m:t>r</m:t>
        </m:r>
        <m:r>
          <m:t>e</m:t>
        </m:r>
        <m:r>
          <m:t>p</m:t>
        </m:r>
        <m:r>
          <m:t>u</m:t>
        </m:r>
        <m:r>
          <m:t>r</m:t>
        </m:r>
        <m:r>
          <m:t>c</m:t>
        </m:r>
        <m:r>
          <m:t>h</m:t>
        </m:r>
        <m:r>
          <m:t>a</m:t>
        </m:r>
        <m:r>
          <m:t>s</m:t>
        </m:r>
        <m:r>
          <m:t>e</m:t>
        </m:r>
        <m:r>
          <m:t>s</m:t>
        </m:r>
        <m:r>
          <m:t>w</m:t>
        </m:r>
        <m:r>
          <m:t>e</m:t>
        </m:r>
        <m:r>
          <m:t>r</m:t>
        </m:r>
        <m:r>
          <m:t>e</m:t>
        </m:r>
        <m:r>
          <m:t>e</m:t>
        </m:r>
        <m:r>
          <m:t>x</m:t>
        </m:r>
        <m:r>
          <m:t>e</m:t>
        </m:r>
        <m:r>
          <m:t>c</m:t>
        </m:r>
        <m:r>
          <m:t>u</m:t>
        </m:r>
        <m:r>
          <m:t>t</m:t>
        </m:r>
        <m:r>
          <m:t>e</m:t>
        </m:r>
        <m:r>
          <m:t>d</m:t>
        </m:r>
        <m:r>
          <m:rPr>
            <m:sty m:val="p"/>
          </m:rPr>
          <m:t>(</m:t>
        </m:r>
        <m:r>
          <m:t>Q</m:t>
        </m:r>
        <m:r>
          <m:t>1</m:t>
        </m:r>
        <m:r>
          <m:t>b</m:t>
        </m:r>
        <m:r>
          <m:t>u</m:t>
        </m:r>
        <m:r>
          <m:t>y</m:t>
        </m:r>
        <m:r>
          <m:t>b</m:t>
        </m:r>
        <m:r>
          <m:t>a</m:t>
        </m:r>
        <m:r>
          <m:t>c</m:t>
        </m:r>
        <m:r>
          <m:t>k</m:t>
        </m:r>
        <m:r>
          <m:t>s</m:t>
        </m:r>
        <m:r>
          <m:t>a</m:t>
        </m:r>
        <m:r>
          <m:t>v</m:t>
        </m:r>
        <m:r>
          <m:t>e</m:t>
        </m:r>
        <m:r>
          <m:t>r</m:t>
        </m:r>
        <m:r>
          <m:t>a</m:t>
        </m:r>
        <m:r>
          <m:t>g</m:t>
        </m:r>
        <m:r>
          <m:t>e</m:t>
        </m:r>
        <m:r>
          <m:t>d</m:t>
        </m:r>
        <m:r>
          <m:t> </m:t>
        </m:r>
      </m:oMath>
      <w:r>
        <w:t xml:space="preserve">90/share vs. ~$110+ today).</w:t>
      </w:r>
    </w:p>
    <w:bookmarkEnd w:id="12"/>
    <w:bookmarkStart w:id="13" w:name="overhangs--risks"/>
    <w:p>
      <w:pPr>
        <w:pStyle w:val="Heading2"/>
      </w:pPr>
      <w:r>
        <w:t xml:space="preserve">Overhangs / Risks</w:t>
      </w:r>
    </w:p>
    <w:p>
      <w:pPr>
        <w:pStyle w:val="Compact"/>
        <w:numPr>
          <w:ilvl w:val="0"/>
          <w:numId w:val="1002"/>
        </w:numPr>
      </w:pPr>
      <w:r>
        <w:rPr>
          <w:b/>
          <w:bCs/>
        </w:rPr>
        <w:t xml:space="preserve">Legal settlement:</w:t>
      </w:r>
      <w:r>
        <w:t xml:space="preserve"> </w:t>
      </w:r>
      <w:r>
        <w:t xml:space="preserve">eBay and several former employees agreed to a</w:t>
      </w:r>
      <w:r>
        <w:t xml:space="preserve"> </w:t>
      </w:r>
      <w:r>
        <w:rPr>
          <w:b/>
          <w:bCs/>
        </w:rPr>
        <w:t xml:space="preserve">$56 million settlement</w:t>
      </w:r>
      <w:r>
        <w:t xml:space="preserve"> </w:t>
      </w:r>
      <w:r>
        <w:t xml:space="preserve">(roughly $46 million paid by eBay itself) tied to a 2019 cyberstalking/harassment campaign against a newsletter-writing couple, a case that also resulted in prison time for former executives. This surfaced in late July 2026 (after Q1 close) and is a reputational/governance overhang, though management will likely frame it as a resolved, one-time item — watch for any GAAP EPS or cash-flow impact disclosed as a subsequent event or Q3 charge.</w:t>
      </w:r>
    </w:p>
    <w:p>
      <w:pPr>
        <w:pStyle w:val="Compact"/>
        <w:numPr>
          <w:ilvl w:val="0"/>
          <w:numId w:val="1002"/>
        </w:numPr>
      </w:pPr>
      <w:r>
        <w:rPr>
          <w:b/>
          <w:bCs/>
        </w:rPr>
        <w:t xml:space="preserve">Macro divergence:</w:t>
      </w:r>
      <w:r>
        <w:t xml:space="preserve"> </w:t>
      </w:r>
      <w:r>
        <w:t xml:space="preserve">Europe (UK, Germany) remains "more challenging" per management's own characterization, with consumer confidence weak even as company-specific initiatives (C2C, eBay Live) partially offset the drag.</w:t>
      </w:r>
    </w:p>
    <w:p>
      <w:pPr>
        <w:pStyle w:val="Compact"/>
        <w:numPr>
          <w:ilvl w:val="0"/>
          <w:numId w:val="1002"/>
        </w:numPr>
      </w:pPr>
      <w:r>
        <w:rPr>
          <w:b/>
          <w:bCs/>
        </w:rPr>
        <w:t xml:space="preserve">Competitive/structural risk:</w:t>
      </w:r>
      <w:r>
        <w:t xml:space="preserve"> </w:t>
      </w:r>
      <w:r>
        <w:t xml:space="preserve">Rising C2C/resale competition (e.g., Vinted's aggressive push) and the broader shift toward agentic/AI-driven shopping are watched closely; management has framed AI (Agentic Search beta, Magical Listing) as a "structural tailwind" rather than a threat, but this narrative will be tested as adoption scales.</w:t>
      </w:r>
    </w:p>
    <w:p>
      <w:pPr>
        <w:pStyle w:val="Compact"/>
        <w:numPr>
          <w:ilvl w:val="0"/>
          <w:numId w:val="1002"/>
        </w:numPr>
      </w:pPr>
      <w:r>
        <w:rPr>
          <w:b/>
          <w:bCs/>
        </w:rPr>
        <w:t xml:space="preserve">Valuation/sentiment gap:</w:t>
      </w:r>
      <w:r>
        <w:t xml:space="preserve"> </w:t>
      </w:r>
      <w:r>
        <w:t xml:space="preserve">With shares trading above most analysts' price targets (several in the</w:t>
      </w:r>
      <w:r>
        <w:t xml:space="preserve"> </w:t>
      </w:r>
      <m:oMath>
        <m:r>
          <m:t>105</m:t>
        </m:r>
        <m:r>
          <m:rPr>
            <m:sty m:val="p"/>
          </m:rPr>
          <m:t>–</m:t>
        </m:r>
      </m:oMath>
      <w:r>
        <w:t xml:space="preserve">115 range vs. a stock near $110-114), the setup skews toward "priced for perfection" — a merely in-line quarter without a raise could disappoint after such a strong run (the stock is a "Moderate Buy"/"Hold" consensus rather than broadly bullish).</w:t>
      </w:r>
    </w:p>
    <w:bookmarkEnd w:id="13"/>
    <w:bookmarkStart w:id="14" w:name="bottom-line"/>
    <w:p>
      <w:pPr>
        <w:pStyle w:val="Heading2"/>
      </w:pPr>
      <w:r>
        <w:t xml:space="preserve">Bottom Line</w:t>
      </w:r>
    </w:p>
    <w:p>
      <w:pPr>
        <w:pStyle w:val="FirstParagraph"/>
      </w:pPr>
      <w:r>
        <w:t xml:space="preserve">Coming off a blowout Q1 (17% revenue growth, 21% EPS growth) and a stock that's up roughly 25%+ year-to-date, expectations are elevated. The key swing factors for Wednesday's report are: (1) whether Q2 GMV/revenue land at or above the high end of guidance despite the scripted deceleration from lapping dynamics and bullion normalization; (2) whether advertising and take-rate trends stay healthy; (3) any incremental color on Depop's Q3 close and its EPS dilution; and (4) whether management reiterates or raises full-year GMV (7–7.5%) and operating income (9–11%) guidance. Given the stock's run and a consensus EPS estimate sitting at the top of management's own guided range, the bar for a genuine "beat and raise" is high, and commentary on the back-half trajectory — rather than the Q2 numbers themselves — is likely to drive the stock's reaction.</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2026-08-05T01:21:14Z</dcterms:created>
  <dcterms:modified xsi:type="dcterms:W3CDTF">2026-08-05T01:21:14Z</dcterms:modified>
</cp:coreProperties>
</file>

<file path=docProps/custom.xml><?xml version="1.0" encoding="utf-8"?>
<Properties xmlns="http://schemas.openxmlformats.org/officeDocument/2006/custom-properties" xmlns:vt="http://schemas.openxmlformats.org/officeDocument/2006/docPropsVTypes"/>
</file>