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bay-earnings-predictions--2026-08-05"/>
    <w:p>
      <w:pPr>
        <w:pStyle w:val="Heading1"/>
      </w:pPr>
      <w:r>
        <w:t xml:space="preserve">EBAY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GMV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~$21.72B vs. cons $21.50B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~$3.035B vs. cons $3.018B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~$1.53 vs. cons $1.51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GMV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~$21.35B vs. cons $21.40B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~$3.00B vs. cons $3.00B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~$1.38 vs. cons $1.38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FX-neutral GMV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~7.25% vs. cons 7.25%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-4.2% (FOLLOW-THROUGH)</w:t>
            </w:r>
          </w:p>
        </w:tc>
        <w:tc>
          <w:tcPr/>
          <w:p>
            <w:pPr>
              <w:pStyle w:val="Compact"/>
            </w:pPr>
            <w:r>
              <w:t xml:space="preserve">Maintaining FY2026 core FX-neutral GMV growth at ~7.25% vs. cons 7.25% despite Q2 GMV of ~$21.72B vs. cons $21.50B implicitly removes roughly $0.22B from second-half GMV, pressuring out-period revenue and EPS revisions after the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2026-08-05T01:19:21Z</dcterms:created>
  <dcterms:modified xsi:type="dcterms:W3CDTF">2026-08-05T01:19:21Z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