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ebay-2026q2-earnings-preview"/>
    <w:p>
      <w:pPr>
        <w:pStyle w:val="Heading1"/>
      </w:pPr>
      <w:r>
        <w:t xml:space="preserve">eBay 2026Q2 Earnings Preview</w:t>
      </w:r>
    </w:p>
    <w:p>
      <w:pPr>
        <w:pStyle w:val="BlockText"/>
      </w:pPr>
      <w:r>
        <w:rPr>
          <w:b/>
          <w:bCs/>
        </w:rPr>
        <w:t xml:space="preserve">Timing note:</w:t>
      </w:r>
      <w:r>
        <w:t xml:space="preserve"> </w:t>
      </w:r>
      <w:r>
        <w:t xml:space="preserve">eBay is scheduled to report</w:t>
      </w:r>
      <w:r>
        <w:t xml:space="preserve"> </w:t>
      </w:r>
      <w:r>
        <w:rPr>
          <w:b/>
          <w:bCs/>
        </w:rPr>
        <w:t xml:space="preserve">today, Wednesday, August 5, 2026, after the U.S. market close</w:t>
      </w:r>
      <w:r>
        <w:t xml:space="preserve">—not tomorrow. The latest available closing price used below is from August 4.</w:t>
      </w:r>
    </w:p>
    <w:bookmarkStart w:id="9" w:name="investment-setup"/>
    <w:p>
      <w:pPr>
        <w:pStyle w:val="Heading2"/>
      </w:pPr>
      <w:r>
        <w:t xml:space="preserve">Investment setup</w:t>
      </w:r>
    </w:p>
    <w:p>
      <w:pPr>
        <w:pStyle w:val="FirstParagraph"/>
      </w:pPr>
      <w:r>
        <w:t xml:space="preserve">eBay enters Q2 with substantially better operating momentum than it had a year ago, but also with a much higher expectations bar. First-quarter GMV accelerated 14% on an organic, FX-neutral basis, driven by collectibles, Motors, consumer-to-consumer selling, advertising, and stronger U.S. buyer trends. Management subsequently raised its full-year outlook.</w:t>
      </w:r>
    </w:p>
    <w:p>
      <w:pPr>
        <w:pStyle w:val="BodyText"/>
      </w:pPr>
      <w:r>
        <w:t xml:space="preserve">Q2 should still show healthy growth, but management has already guided to a meaningful sequential slowdown as eBay laps prior marketing and Klarna benefits and as unusually strong precious-metals activity normalizes.</w:t>
      </w:r>
    </w:p>
    <w:p>
      <w:pPr>
        <w:pStyle w:val="BodyText"/>
      </w:pPr>
      <w:r>
        <w:t xml:space="preserve">The central question is therefore not whether Q2 grew—it almost certainly did—but</w:t>
      </w:r>
      <w:r>
        <w:t xml:space="preserve"> </w:t>
      </w:r>
      <w:r>
        <w:rPr>
          <w:b/>
          <w:bCs/>
        </w:rPr>
        <w:t xml:space="preserve">how durable the recent acceleration is as comparisons become more difficult in the second half.</w:t>
      </w:r>
    </w:p>
    <w:bookmarkEnd w:id="9"/>
    <w:bookmarkStart w:id="10" w:name="the-numbers-to-know"/>
    <w:p>
      <w:pPr>
        <w:pStyle w:val="Heading2"/>
      </w:pPr>
      <w:r>
        <w:t xml:space="preserve">The numbers to know</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eBay Q2 guidance</w:t>
            </w:r>
          </w:p>
        </w:tc>
        <w:tc>
          <w:tcPr/>
          <w:p>
            <w:pPr>
              <w:pStyle w:val="Compact"/>
              <w:jc w:val="right"/>
            </w:pPr>
            <w:r>
              <w:t xml:space="preserve">Current investor benchmark</w:t>
            </w:r>
          </w:p>
        </w:tc>
      </w:tr>
      <w:tr>
        <w:tc>
          <w:tcPr/>
          <w:p>
            <w:pPr>
              <w:pStyle w:val="Compact"/>
            </w:pPr>
            <w:r>
              <w:t xml:space="preserve">GMV</w:t>
            </w:r>
          </w:p>
        </w:tc>
        <w:tc>
          <w:tcPr/>
          <w:p>
            <w:pPr>
              <w:pStyle w:val="Compact"/>
              <w:jc w:val="right"/>
            </w:pPr>
            <m:oMath>
              <m:r>
                <m:t>21.3</m:t>
              </m:r>
              <m:r>
                <m:t>B</m:t>
              </m:r>
              <m:r>
                <m:rPr>
                  <m:sty m:val="p"/>
                </m:rPr>
                <m:t>–</m:t>
              </m:r>
            </m:oMath>
            <w:r>
              <w:rPr>
                <w:b/>
                <w:bCs/>
              </w:rPr>
              <w:t xml:space="preserve">21.7B</w:t>
            </w:r>
          </w:p>
        </w:tc>
        <w:tc>
          <w:tcPr/>
          <w:p>
            <w:pPr>
              <w:pStyle w:val="Compact"/>
              <w:jc w:val="right"/>
            </w:pPr>
            <w:r>
              <w:t xml:space="preserve">Midpoint: $21.5B</w:t>
            </w:r>
          </w:p>
        </w:tc>
      </w:tr>
      <w:tr>
        <w:tc>
          <w:tcPr/>
          <w:p>
            <w:pPr>
              <w:pStyle w:val="Compact"/>
            </w:pPr>
            <w:r>
              <w:t xml:space="preserve">FX-neutral GMV growth</w:t>
            </w:r>
          </w:p>
        </w:tc>
        <w:tc>
          <w:tcPr/>
          <w:p>
            <w:pPr>
              <w:pStyle w:val="Compact"/>
              <w:jc w:val="right"/>
            </w:pPr>
            <w:r>
              <w:rPr>
                <w:b/>
                <w:bCs/>
              </w:rPr>
              <w:t xml:space="preserve">8%–10%</w:t>
            </w:r>
          </w:p>
        </w:tc>
        <w:tc>
          <w:tcPr/>
          <w:p>
            <w:pPr>
              <w:pStyle w:val="Compact"/>
              <w:jc w:val="right"/>
            </w:pPr>
            <w:r>
              <w:t xml:space="preserve">Q1 was 14%</w:t>
            </w:r>
          </w:p>
        </w:tc>
      </w:tr>
      <w:tr>
        <w:tc>
          <w:tcPr/>
          <w:p>
            <w:pPr>
              <w:pStyle w:val="Compact"/>
            </w:pPr>
            <w:r>
              <w:t xml:space="preserve">Revenue</w:t>
            </w:r>
          </w:p>
        </w:tc>
        <w:tc>
          <w:tcPr/>
          <w:p>
            <w:pPr>
              <w:pStyle w:val="Compact"/>
              <w:jc w:val="right"/>
            </w:pPr>
            <m:oMath>
              <m:r>
                <m:t>2.97</m:t>
              </m:r>
              <m:r>
                <m:t>B</m:t>
              </m:r>
              <m:r>
                <m:rPr>
                  <m:sty m:val="p"/>
                </m:rPr>
                <m:t>–</m:t>
              </m:r>
            </m:oMath>
            <w:r>
              <w:rPr>
                <w:b/>
                <w:bCs/>
              </w:rPr>
              <w:t xml:space="preserve">3.03B</w:t>
            </w:r>
          </w:p>
        </w:tc>
        <w:tc>
          <w:tcPr/>
          <w:p>
            <w:pPr>
              <w:pStyle w:val="Compact"/>
              <w:jc w:val="right"/>
            </w:pPr>
            <w:r>
              <w:t xml:space="preserve">Street: approximately</w:t>
            </w:r>
            <w:r>
              <w:t xml:space="preserve"> </w:t>
            </w:r>
            <w:r>
              <w:rPr>
                <w:b/>
                <w:bCs/>
              </w:rPr>
              <w:t xml:space="preserve">$3.018B</w:t>
            </w:r>
          </w:p>
        </w:tc>
      </w:tr>
      <w:tr>
        <w:tc>
          <w:tcPr/>
          <w:p>
            <w:pPr>
              <w:pStyle w:val="Compact"/>
            </w:pPr>
            <w:r>
              <w:t xml:space="preserve">FX-neutral revenue growth</w:t>
            </w:r>
          </w:p>
        </w:tc>
        <w:tc>
          <w:tcPr/>
          <w:p>
            <w:pPr>
              <w:pStyle w:val="Compact"/>
              <w:jc w:val="right"/>
            </w:pPr>
            <w:r>
              <w:rPr>
                <w:b/>
                <w:bCs/>
              </w:rPr>
              <w:t xml:space="preserve">8%–10%</w:t>
            </w:r>
          </w:p>
        </w:tc>
        <w:tc>
          <w:tcPr/>
          <w:p>
            <w:pPr>
              <w:pStyle w:val="Compact"/>
              <w:jc w:val="right"/>
            </w:pPr>
            <w:r>
              <w:t xml:space="preserve">FX expected to add roughly 120 bps to reported growth</w:t>
            </w:r>
          </w:p>
        </w:tc>
      </w:tr>
      <w:tr>
        <w:tc>
          <w:tcPr/>
          <w:p>
            <w:pPr>
              <w:pStyle w:val="Compact"/>
            </w:pPr>
            <w:r>
              <w:t xml:space="preserve">Non-GAAP operating margin</w:t>
            </w:r>
          </w:p>
        </w:tc>
        <w:tc>
          <w:tcPr/>
          <w:p>
            <w:pPr>
              <w:pStyle w:val="Compact"/>
              <w:jc w:val="right"/>
            </w:pPr>
            <w:r>
              <w:rPr>
                <w:b/>
                <w:bCs/>
              </w:rPr>
              <w:t xml:space="preserve">27.6%–28.1%</w:t>
            </w:r>
          </w:p>
        </w:tc>
        <w:tc>
          <w:tcPr/>
          <w:p>
            <w:pPr>
              <w:pStyle w:val="Compact"/>
              <w:jc w:val="right"/>
            </w:pPr>
            <w:r>
              <w:t xml:space="preserve">Q1: 29.4%; 2025Q2: 28.4%</w:t>
            </w:r>
          </w:p>
        </w:tc>
      </w:tr>
      <w:tr>
        <w:tc>
          <w:tcPr/>
          <w:p>
            <w:pPr>
              <w:pStyle w:val="Compact"/>
            </w:pPr>
            <w:r>
              <w:t xml:space="preserve">Non-GAAP EPS</w:t>
            </w:r>
          </w:p>
        </w:tc>
        <w:tc>
          <w:tcPr/>
          <w:p>
            <w:pPr>
              <w:pStyle w:val="Compact"/>
              <w:jc w:val="right"/>
            </w:pPr>
            <m:oMath>
              <m:r>
                <m:t>1.46</m:t>
              </m:r>
              <m:r>
                <m:rPr>
                  <m:sty m:val="p"/>
                </m:rPr>
                <m:t>–</m:t>
              </m:r>
            </m:oMath>
            <w:r>
              <w:rPr>
                <w:b/>
                <w:bCs/>
              </w:rPr>
              <w:t xml:space="preserve">1.51</w:t>
            </w:r>
          </w:p>
        </w:tc>
        <w:tc>
          <w:tcPr/>
          <w:p>
            <w:pPr>
              <w:pStyle w:val="Compact"/>
              <w:jc w:val="right"/>
            </w:pPr>
            <w:r>
              <w:t xml:space="preserve">Street: approximately</w:t>
            </w:r>
            <w:r>
              <w:t xml:space="preserve"> </w:t>
            </w:r>
            <w:r>
              <w:rPr>
                <w:b/>
                <w:bCs/>
              </w:rPr>
              <w:t xml:space="preserve">$1.51</w:t>
            </w:r>
          </w:p>
        </w:tc>
      </w:tr>
    </w:tbl>
    <w:p>
      <w:pPr>
        <w:pStyle w:val="BodyText"/>
      </w:pPr>
      <w:r>
        <w:t xml:space="preserve">Consensus revenue is in the upper half of management’s range, while consensus EPS sits at the top. A result merely near the midpoint may therefore be treated as a modest disappointment unless paired with stronger guidance.</w:t>
      </w:r>
    </w:p>
    <w:bookmarkEnd w:id="10"/>
    <w:bookmarkStart w:id="16" w:name="what-matters-most"/>
    <w:p>
      <w:pPr>
        <w:pStyle w:val="Heading2"/>
      </w:pPr>
      <w:r>
        <w:t xml:space="preserve">What matters most</w:t>
      </w:r>
    </w:p>
    <w:bookmarkStart w:id="11" w:name="X32a953f5d54190805702a767e9070b71d1b5933"/>
    <w:p>
      <w:pPr>
        <w:pStyle w:val="Heading3"/>
      </w:pPr>
      <w:r>
        <w:t xml:space="preserve">1. The second-half GMV outlook</w:t>
      </w:r>
    </w:p>
    <w:p>
      <w:pPr>
        <w:pStyle w:val="FirstParagraph"/>
      </w:pPr>
      <w:r>
        <w:t xml:space="preserve">Management entered the quarter planning for</w:t>
      </w:r>
      <w:r>
        <w:t xml:space="preserve"> </w:t>
      </w:r>
      <w:r>
        <w:rPr>
          <w:b/>
          <w:bCs/>
        </w:rPr>
        <w:t xml:space="preserve">7%–7.5% FX-neutral GMV growth for full-year 2026</w:t>
      </w:r>
      <w:r>
        <w:t xml:space="preserve">, excluding Depop. That followed 14% growth in Q1 and an 8%–10% Q2 guide.</w:t>
      </w:r>
    </w:p>
    <w:p>
      <w:pPr>
        <w:pStyle w:val="BodyText"/>
      </w:pPr>
      <w:r>
        <w:t xml:space="preserve">Directionally, the annual outlook embeds a pronounced second-half slowdown. Some deceleration is understandable because eBay will face:</w:t>
      </w:r>
    </w:p>
    <w:p>
      <w:pPr>
        <w:pStyle w:val="Compact"/>
        <w:numPr>
          <w:ilvl w:val="0"/>
          <w:numId w:val="1001"/>
        </w:numPr>
      </w:pPr>
      <w:r>
        <w:t xml:space="preserve">Tougher comparisons from last year’s Klarna and lower-funnel marketing benefits.</w:t>
      </w:r>
    </w:p>
    <w:p>
      <w:pPr>
        <w:pStyle w:val="Compact"/>
        <w:numPr>
          <w:ilvl w:val="0"/>
          <w:numId w:val="1001"/>
        </w:numPr>
      </w:pPr>
      <w:r>
        <w:t xml:space="preserve">Normalization in gold and silver bullion volumes.</w:t>
      </w:r>
    </w:p>
    <w:p>
      <w:pPr>
        <w:pStyle w:val="Compact"/>
        <w:numPr>
          <w:ilvl w:val="0"/>
          <w:numId w:val="1001"/>
        </w:numPr>
      </w:pPr>
      <w:r>
        <w:t xml:space="preserve">Less benefit from the Pokémon anniversary and other collectibles catalysts.</w:t>
      </w:r>
    </w:p>
    <w:p>
      <w:pPr>
        <w:pStyle w:val="Compact"/>
        <w:numPr>
          <w:ilvl w:val="0"/>
          <w:numId w:val="1001"/>
        </w:numPr>
      </w:pPr>
      <w:r>
        <w:t xml:space="preserve">Continued weakness in major European consumer markets.</w:t>
      </w:r>
    </w:p>
    <w:p>
      <w:pPr>
        <w:pStyle w:val="FirstParagraph"/>
      </w:pPr>
      <w:r>
        <w:t xml:space="preserve">Investors will want management to</w:t>
      </w:r>
      <w:r>
        <w:t xml:space="preserve"> </w:t>
      </w:r>
      <w:r>
        <w:rPr>
          <w:b/>
          <w:bCs/>
        </w:rPr>
        <w:t xml:space="preserve">at least maintain the annual range</w:t>
      </w:r>
      <w:r>
        <w:t xml:space="preserve">. A raise would be the clearest positive signal; a reiteration may be sufficient if management describes July trends as healthy. A cut or cautious second-half commentary would likely overshadow a Q2 beat.</w:t>
      </w:r>
    </w:p>
    <w:bookmarkEnd w:id="11"/>
    <w:bookmarkStart w:id="12" w:name="X16fa0ce2ae7733612ac3adc4c174750b5c51d55"/>
    <w:p>
      <w:pPr>
        <w:pStyle w:val="Heading3"/>
      </w:pPr>
      <w:r>
        <w:t xml:space="preserve">2. Whether growth remains broader than collectibles</w:t>
      </w:r>
    </w:p>
    <w:p>
      <w:pPr>
        <w:pStyle w:val="FirstParagraph"/>
      </w:pPr>
      <w:r>
        <w:t xml:space="preserve">Collectibles remained the largest Q1 growth contributor, helped by sports cards, Pokémon, TCGplayer, and Goldin. But the stronger part of the Q1 report was that momentum extended into Motors, fashion, electronics, and C2C.</w:t>
      </w:r>
    </w:p>
    <w:p>
      <w:pPr>
        <w:pStyle w:val="BodyText"/>
      </w:pPr>
      <w:r>
        <w:t xml:space="preserve">Key disclosures to watch:</w:t>
      </w:r>
    </w:p>
    <w:p>
      <w:pPr>
        <w:pStyle w:val="Compact"/>
        <w:numPr>
          <w:ilvl w:val="0"/>
          <w:numId w:val="1002"/>
        </w:numPr>
      </w:pPr>
      <w:r>
        <w:t xml:space="preserve">Focus-category GMV growth versus Q1’s</w:t>
      </w:r>
      <w:r>
        <w:t xml:space="preserve"> </w:t>
      </w:r>
      <w:r>
        <w:rPr>
          <w:b/>
          <w:bCs/>
        </w:rPr>
        <w:t xml:space="preserve">24%</w:t>
      </w:r>
      <w:r>
        <w:t xml:space="preserve">.</w:t>
      </w:r>
    </w:p>
    <w:p>
      <w:pPr>
        <w:pStyle w:val="Compact"/>
        <w:numPr>
          <w:ilvl w:val="0"/>
          <w:numId w:val="1002"/>
        </w:numPr>
      </w:pPr>
      <w:r>
        <w:t xml:space="preserve">Motors Parts &amp; Accessories growth and Guaranteed Fit adoption.</w:t>
      </w:r>
    </w:p>
    <w:p>
      <w:pPr>
        <w:pStyle w:val="Compact"/>
        <w:numPr>
          <w:ilvl w:val="0"/>
          <w:numId w:val="1002"/>
        </w:numPr>
      </w:pPr>
      <w:r>
        <w:t xml:space="preserve">Fashion and luxury growth following expanded authentication.</w:t>
      </w:r>
    </w:p>
    <w:p>
      <w:pPr>
        <w:pStyle w:val="Compact"/>
        <w:numPr>
          <w:ilvl w:val="0"/>
          <w:numId w:val="1002"/>
        </w:numPr>
      </w:pPr>
      <w:r>
        <w:t xml:space="preserve">Goldin and TCGplayer momentum after a very strong collectibles quarter.</w:t>
      </w:r>
    </w:p>
    <w:p>
      <w:pPr>
        <w:pStyle w:val="Compact"/>
        <w:numPr>
          <w:ilvl w:val="0"/>
          <w:numId w:val="1002"/>
        </w:numPr>
      </w:pPr>
      <w:r>
        <w:t xml:space="preserve">Whether bullion normalization was fully contemplated in guidance.</w:t>
      </w:r>
    </w:p>
    <w:p>
      <w:pPr>
        <w:pStyle w:val="FirstParagraph"/>
      </w:pPr>
      <w:r>
        <w:t xml:space="preserve">A collectibles-led beat would still be positive, but a broad-based beat would do more to support eBay’s emerging structural-growth narrative.</w:t>
      </w:r>
    </w:p>
    <w:bookmarkEnd w:id="12"/>
    <w:bookmarkStart w:id="13" w:name="X7dc873b16bf1af8eb060ae10776e7c80a4d51d0"/>
    <w:p>
      <w:pPr>
        <w:pStyle w:val="Heading3"/>
      </w:pPr>
      <w:r>
        <w:t xml:space="preserve">3. The U.S.–international divergence</w:t>
      </w:r>
    </w:p>
    <w:p>
      <w:pPr>
        <w:pStyle w:val="FirstParagraph"/>
      </w:pPr>
      <w:r>
        <w:t xml:space="preserve">Q1’s geographic split was stark:</w:t>
      </w:r>
    </w:p>
    <w:p>
      <w:pPr>
        <w:pStyle w:val="Compact"/>
        <w:numPr>
          <w:ilvl w:val="0"/>
          <w:numId w:val="1003"/>
        </w:numPr>
      </w:pPr>
      <w:r>
        <w:rPr>
          <w:b/>
          <w:bCs/>
        </w:rPr>
        <w:t xml:space="preserve">U.S. GMV:</w:t>
      </w:r>
      <w:r>
        <w:t xml:space="preserve"> </w:t>
      </w:r>
      <w:r>
        <w:t xml:space="preserve">nearly</w:t>
      </w:r>
      <w:r>
        <w:t xml:space="preserve"> </w:t>
      </w:r>
      <w:r>
        <w:rPr>
          <w:b/>
          <w:bCs/>
        </w:rPr>
        <w:t xml:space="preserve">27%</w:t>
      </w:r>
      <w:r>
        <w:t xml:space="preserve"> </w:t>
      </w:r>
      <w:r>
        <w:t xml:space="preserve">FX-neutral growth.</w:t>
      </w:r>
    </w:p>
    <w:p>
      <w:pPr>
        <w:pStyle w:val="Compact"/>
        <w:numPr>
          <w:ilvl w:val="0"/>
          <w:numId w:val="1003"/>
        </w:numPr>
      </w:pPr>
      <w:r>
        <w:rPr>
          <w:b/>
          <w:bCs/>
        </w:rPr>
        <w:t xml:space="preserve">International GMV:</w:t>
      </w:r>
      <w:r>
        <w:t xml:space="preserve"> </w:t>
      </w:r>
      <w:r>
        <w:t xml:space="preserve">just over</w:t>
      </w:r>
      <w:r>
        <w:t xml:space="preserve"> </w:t>
      </w:r>
      <w:r>
        <w:rPr>
          <w:b/>
          <w:bCs/>
        </w:rPr>
        <w:t xml:space="preserve">2%</w:t>
      </w:r>
      <w:r>
        <w:t xml:space="preserve"> </w:t>
      </w:r>
      <w:r>
        <w:t xml:space="preserve">FX-neutral growth.</w:t>
      </w:r>
    </w:p>
    <w:p>
      <w:pPr>
        <w:pStyle w:val="FirstParagraph"/>
      </w:pPr>
      <w:r>
        <w:t xml:space="preserve">U.S. active buyers grew nearly 6%, including 8% growth among enthusiast buyers. International demand remained constrained by weak consumer conditions, particularly in Europe.</w:t>
      </w:r>
    </w:p>
    <w:p>
      <w:pPr>
        <w:pStyle w:val="BodyText"/>
      </w:pPr>
      <w:r>
        <w:t xml:space="preserve">The most important geographic questions are:</w:t>
      </w:r>
    </w:p>
    <w:p>
      <w:pPr>
        <w:pStyle w:val="Compact"/>
        <w:numPr>
          <w:ilvl w:val="0"/>
          <w:numId w:val="1004"/>
        </w:numPr>
      </w:pPr>
      <w:r>
        <w:t xml:space="preserve">Did the U.S. business sustain double-digit growth after Q1’s exceptional result?</w:t>
      </w:r>
    </w:p>
    <w:p>
      <w:pPr>
        <w:pStyle w:val="Compact"/>
        <w:numPr>
          <w:ilvl w:val="0"/>
          <w:numId w:val="1004"/>
        </w:numPr>
      </w:pPr>
      <w:r>
        <w:t xml:space="preserve">Did Germany and the U.K. stabilize?</w:t>
      </w:r>
    </w:p>
    <w:p>
      <w:pPr>
        <w:pStyle w:val="Compact"/>
        <w:numPr>
          <w:ilvl w:val="0"/>
          <w:numId w:val="1004"/>
        </w:numPr>
      </w:pPr>
      <w:r>
        <w:t xml:space="preserve">Is cross-border trade continuing to recover despite tariffs and a more complicated trade environment?</w:t>
      </w:r>
    </w:p>
    <w:p>
      <w:pPr>
        <w:pStyle w:val="FirstParagraph"/>
      </w:pPr>
      <w:r>
        <w:t xml:space="preserve">A sharper-than-expected U.S. slowdown combined with continued European weakness would challenge the full-year outlook.</w:t>
      </w:r>
    </w:p>
    <w:bookmarkEnd w:id="13"/>
    <w:bookmarkStart w:id="14" w:name="X3fb02f137d559d32854c5280bedca3946ea2260"/>
    <w:p>
      <w:pPr>
        <w:pStyle w:val="Heading3"/>
      </w:pPr>
      <w:r>
        <w:t xml:space="preserve">4. Advertising growth and take-rate quality</w:t>
      </w:r>
    </w:p>
    <w:p>
      <w:pPr>
        <w:pStyle w:val="FirstParagraph"/>
      </w:pPr>
      <w:r>
        <w:t xml:space="preserve">Advertising has become one of eBay’s most important earnings levers. In Q1:</w:t>
      </w:r>
    </w:p>
    <w:p>
      <w:pPr>
        <w:pStyle w:val="Compact"/>
        <w:numPr>
          <w:ilvl w:val="0"/>
          <w:numId w:val="1005"/>
        </w:numPr>
      </w:pPr>
      <w:r>
        <w:t xml:space="preserve">Total advertising revenue reached</w:t>
      </w:r>
      <w:r>
        <w:t xml:space="preserve"> </w:t>
      </w:r>
      <w:r>
        <w:rPr>
          <w:b/>
          <w:bCs/>
        </w:rPr>
        <w:t xml:space="preserve">$581 million</w:t>
      </w:r>
      <w:r>
        <w:t xml:space="preserve">.</w:t>
      </w:r>
    </w:p>
    <w:p>
      <w:pPr>
        <w:pStyle w:val="Compact"/>
        <w:numPr>
          <w:ilvl w:val="0"/>
          <w:numId w:val="1005"/>
        </w:numPr>
      </w:pPr>
      <w:r>
        <w:t xml:space="preserve">First-party advertising grew</w:t>
      </w:r>
      <w:r>
        <w:t xml:space="preserve"> </w:t>
      </w:r>
      <w:r>
        <w:rPr>
          <w:b/>
          <w:bCs/>
        </w:rPr>
        <w:t xml:space="preserve">28%</w:t>
      </w:r>
      <w:r>
        <w:t xml:space="preserve"> </w:t>
      </w:r>
      <w:r>
        <w:t xml:space="preserve">to $555 million.</w:t>
      </w:r>
    </w:p>
    <w:p>
      <w:pPr>
        <w:pStyle w:val="Compact"/>
        <w:numPr>
          <w:ilvl w:val="0"/>
          <w:numId w:val="1005"/>
        </w:numPr>
      </w:pPr>
      <w:r>
        <w:t xml:space="preserve">Advertising penetration exceeded</w:t>
      </w:r>
      <w:r>
        <w:t xml:space="preserve"> </w:t>
      </w:r>
      <w:r>
        <w:rPr>
          <w:b/>
          <w:bCs/>
        </w:rPr>
        <w:t xml:space="preserve">2.6% of GMV</w:t>
      </w:r>
      <w:r>
        <w:t xml:space="preserve">.</w:t>
      </w:r>
    </w:p>
    <w:p>
      <w:pPr>
        <w:pStyle w:val="Compact"/>
        <w:numPr>
          <w:ilvl w:val="0"/>
          <w:numId w:val="1005"/>
        </w:numPr>
      </w:pPr>
      <w:r>
        <w:t xml:space="preserve">First-party ad revenue materially outpaced marketplace volume.</w:t>
      </w:r>
    </w:p>
    <w:p>
      <w:pPr>
        <w:pStyle w:val="FirstParagraph"/>
      </w:pPr>
      <w:r>
        <w:t xml:space="preserve">Continued ad growth above GMV would support revenue and earnings even as marketplace growth moderates. Investors should nevertheless distinguish between healthy monetization and excessive seller costs that could eventually hurt inventory or seller returns.</w:t>
      </w:r>
    </w:p>
    <w:p>
      <w:pPr>
        <w:pStyle w:val="BodyText"/>
      </w:pPr>
      <w:r>
        <w:t xml:space="preserve">Watch for:</w:t>
      </w:r>
    </w:p>
    <w:p>
      <w:pPr>
        <w:pStyle w:val="Compact"/>
        <w:numPr>
          <w:ilvl w:val="0"/>
          <w:numId w:val="1006"/>
        </w:numPr>
      </w:pPr>
      <w:r>
        <w:t xml:space="preserve">First-party advertising growth.</w:t>
      </w:r>
    </w:p>
    <w:p>
      <w:pPr>
        <w:pStyle w:val="Compact"/>
        <w:numPr>
          <w:ilvl w:val="0"/>
          <w:numId w:val="1006"/>
        </w:numPr>
      </w:pPr>
      <w:r>
        <w:t xml:space="preserve">Ad penetration as a percentage of GMV.</w:t>
      </w:r>
    </w:p>
    <w:p>
      <w:pPr>
        <w:pStyle w:val="Compact"/>
        <w:numPr>
          <w:ilvl w:val="0"/>
          <w:numId w:val="1006"/>
        </w:numPr>
      </w:pPr>
      <w:r>
        <w:t xml:space="preserve">Seller adoption and listing penetration.</w:t>
      </w:r>
    </w:p>
    <w:p>
      <w:pPr>
        <w:pStyle w:val="Compact"/>
        <w:numPr>
          <w:ilvl w:val="0"/>
          <w:numId w:val="1006"/>
        </w:numPr>
      </w:pPr>
      <w:r>
        <w:t xml:space="preserve">Commentary on cost-per-click and cost-per-acquisition products.</w:t>
      </w:r>
    </w:p>
    <w:p>
      <w:pPr>
        <w:pStyle w:val="Compact"/>
        <w:numPr>
          <w:ilvl w:val="0"/>
          <w:numId w:val="1006"/>
        </w:numPr>
      </w:pPr>
      <w:r>
        <w:t xml:space="preserve">Evidence that AI is improving ad yield without weakening seller return on ad spend.</w:t>
      </w:r>
    </w:p>
    <w:bookmarkEnd w:id="14"/>
    <w:bookmarkStart w:id="15" w:name="Xba0ae731c2fdf5a43e02cb9668f2ba82b19c796"/>
    <w:p>
      <w:pPr>
        <w:pStyle w:val="Heading3"/>
      </w:pPr>
      <w:r>
        <w:t xml:space="preserve">5. Margins: reinvestment versus operating leverage</w:t>
      </w:r>
    </w:p>
    <w:p>
      <w:pPr>
        <w:pStyle w:val="FirstParagraph"/>
      </w:pPr>
      <w:r>
        <w:t xml:space="preserve">Q2 operating-margin guidance of 27.6%–28.1% implies some compression from Q1. Management is reinvesting in marketing, eBay Live, AI, vehicles, shipping, and C2C, while newer shipping programs have initially produced higher transaction losses.</w:t>
      </w:r>
    </w:p>
    <w:p>
      <w:pPr>
        <w:pStyle w:val="BodyText"/>
      </w:pPr>
      <w:r>
        <w:t xml:space="preserve">Important margin drivers include:</w:t>
      </w:r>
    </w:p>
    <w:p>
      <w:pPr>
        <w:pStyle w:val="Compact"/>
        <w:numPr>
          <w:ilvl w:val="0"/>
          <w:numId w:val="1007"/>
        </w:numPr>
      </w:pPr>
      <w:r>
        <w:t xml:space="preserve">Advertising monetization.</w:t>
      </w:r>
    </w:p>
    <w:p>
      <w:pPr>
        <w:pStyle w:val="Compact"/>
        <w:numPr>
          <w:ilvl w:val="0"/>
          <w:numId w:val="1007"/>
        </w:numPr>
      </w:pPr>
      <w:r>
        <w:t xml:space="preserve">Payment-cost and operational efficiencies.</w:t>
      </w:r>
    </w:p>
    <w:p>
      <w:pPr>
        <w:pStyle w:val="Compact"/>
        <w:numPr>
          <w:ilvl w:val="0"/>
          <w:numId w:val="1007"/>
        </w:numPr>
      </w:pPr>
      <w:r>
        <w:t xml:space="preserve">Higher marketing spending.</w:t>
      </w:r>
    </w:p>
    <w:p>
      <w:pPr>
        <w:pStyle w:val="Compact"/>
        <w:numPr>
          <w:ilvl w:val="0"/>
          <w:numId w:val="1007"/>
        </w:numPr>
      </w:pPr>
      <w:r>
        <w:t xml:space="preserve">Initial losses from managed-shipping programs.</w:t>
      </w:r>
    </w:p>
    <w:p>
      <w:pPr>
        <w:pStyle w:val="Compact"/>
        <w:numPr>
          <w:ilvl w:val="0"/>
          <w:numId w:val="1007"/>
        </w:numPr>
      </w:pPr>
      <w:r>
        <w:t xml:space="preserve">Mix pressure from faster growth in Live and vehicles.</w:t>
      </w:r>
    </w:p>
    <w:p>
      <w:pPr>
        <w:pStyle w:val="Compact"/>
        <w:numPr>
          <w:ilvl w:val="0"/>
          <w:numId w:val="1007"/>
        </w:numPr>
      </w:pPr>
      <w:r>
        <w:t xml:space="preserve">AI infrastructure and talent investment.</w:t>
      </w:r>
    </w:p>
    <w:p>
      <w:pPr>
        <w:pStyle w:val="FirstParagraph"/>
      </w:pPr>
      <w:r>
        <w:t xml:space="preserve">The desirable outcome is revenue near or above the high end with operating margin holding around 28%. A revenue beat achieved through disproportionately high spending would be lower quality.</w:t>
      </w:r>
    </w:p>
    <w:bookmarkEnd w:id="15"/>
    <w:bookmarkEnd w:id="16"/>
    <w:bookmarkStart w:id="21" w:name="strategic-initiatives-to-monitor"/>
    <w:p>
      <w:pPr>
        <w:pStyle w:val="Heading2"/>
      </w:pPr>
      <w:r>
        <w:t xml:space="preserve">Strategic initiatives to monitor</w:t>
      </w:r>
    </w:p>
    <w:bookmarkStart w:id="17" w:name="c2c-and-australia"/>
    <w:p>
      <w:pPr>
        <w:pStyle w:val="Heading3"/>
      </w:pPr>
      <w:r>
        <w:t xml:space="preserve">C2C and Australia</w:t>
      </w:r>
    </w:p>
    <w:p>
      <w:pPr>
        <w:pStyle w:val="FirstParagraph"/>
      </w:pPr>
      <w:r>
        <w:t xml:space="preserve">C2C represents more than one-quarter of GMV and has been growing faster than eBay’s business-to-consumer marketplace. During Q2, eBay revamped its Australian consumer-selling proposition by removing seller fees and introducing a buyer-facing fee.</w:t>
      </w:r>
    </w:p>
    <w:p>
      <w:pPr>
        <w:pStyle w:val="BodyText"/>
      </w:pPr>
      <w:r>
        <w:t xml:space="preserve">Early evidence on listing creation, differentiated inventory, conversion, and buyer response could provide a useful read-through to whether eBay can replicate its U.K. and German C2C playbook.</w:t>
      </w:r>
    </w:p>
    <w:bookmarkEnd w:id="17"/>
    <w:bookmarkStart w:id="18" w:name="ai-powered-listing-and-search"/>
    <w:p>
      <w:pPr>
        <w:pStyle w:val="Heading3"/>
      </w:pPr>
      <w:r>
        <w:t xml:space="preserve">AI-powered listing and search</w:t>
      </w:r>
    </w:p>
    <w:p>
      <w:pPr>
        <w:pStyle w:val="FirstParagraph"/>
      </w:pPr>
      <w:r>
        <w:t xml:space="preserve">The latest Magical Listing experience drove:</w:t>
      </w:r>
    </w:p>
    <w:p>
      <w:pPr>
        <w:pStyle w:val="Compact"/>
        <w:numPr>
          <w:ilvl w:val="0"/>
          <w:numId w:val="1008"/>
        </w:numPr>
      </w:pPr>
      <w:r>
        <w:t xml:space="preserve">More than a 50% increase in new-listing creation rates.</w:t>
      </w:r>
    </w:p>
    <w:p>
      <w:pPr>
        <w:pStyle w:val="Compact"/>
        <w:numPr>
          <w:ilvl w:val="0"/>
          <w:numId w:val="1008"/>
        </w:numPr>
      </w:pPr>
      <w:r>
        <w:t xml:space="preserve">Double-digit improvements in sold items and GMV per lister.</w:t>
      </w:r>
    </w:p>
    <w:p>
      <w:pPr>
        <w:pStyle w:val="Compact"/>
        <w:numPr>
          <w:ilvl w:val="0"/>
          <w:numId w:val="1008"/>
        </w:numPr>
      </w:pPr>
      <w:r>
        <w:t xml:space="preserve">Better seller retention.</w:t>
      </w:r>
    </w:p>
    <w:p>
      <w:pPr>
        <w:pStyle w:val="Compact"/>
        <w:numPr>
          <w:ilvl w:val="0"/>
          <w:numId w:val="1008"/>
        </w:numPr>
      </w:pPr>
      <w:r>
        <w:t xml:space="preserve">Similar early test results in Germany.</w:t>
      </w:r>
    </w:p>
    <w:p>
      <w:pPr>
        <w:pStyle w:val="FirstParagraph"/>
      </w:pPr>
      <w:r>
        <w:t xml:space="preserve">Agentic Search also produced roughly 50% more search engagement and double-digit increases in purchase behavior in early testing.</w:t>
      </w:r>
    </w:p>
    <w:p>
      <w:pPr>
        <w:pStyle w:val="BodyText"/>
      </w:pPr>
      <w:r>
        <w:t xml:space="preserve">Investors should listen for evidence that these improvements are scaling beyond test cohorts. AI becomes financially meaningful if it creates incremental inventory, buyer conversion, and repeat usage—not merely feature engagement.</w:t>
      </w:r>
    </w:p>
    <w:bookmarkEnd w:id="18"/>
    <w:bookmarkStart w:id="19" w:name="ebay-live-and-vehicles"/>
    <w:p>
      <w:pPr>
        <w:pStyle w:val="Heading3"/>
      </w:pPr>
      <w:r>
        <w:t xml:space="preserve">eBay Live and vehicles</w:t>
      </w:r>
    </w:p>
    <w:p>
      <w:pPr>
        <w:pStyle w:val="FirstParagraph"/>
      </w:pPr>
      <w:r>
        <w:t xml:space="preserve">eBay Live’s annualized GMV run rate was recently more than eight times the prior-year level, albeit from a small base. Vehicles exited Q1 at an annualized GMV run rate in the hundreds of millions of dollars.</w:t>
      </w:r>
    </w:p>
    <w:p>
      <w:pPr>
        <w:pStyle w:val="BodyText"/>
      </w:pPr>
      <w:r>
        <w:t xml:space="preserve">Both initiatives could become meaningful growth contributors, but both can carry different monetization and margin profiles from eBay’s core marketplace. Useful disclosures would include absolute scale, contribution to GMV growth, repeat engagement, and economics.</w:t>
      </w:r>
    </w:p>
    <w:bookmarkEnd w:id="19"/>
    <w:bookmarkStart w:id="20" w:name="depop"/>
    <w:p>
      <w:pPr>
        <w:pStyle w:val="Heading3"/>
      </w:pPr>
      <w:r>
        <w:t xml:space="preserve">Depop</w:t>
      </w:r>
    </w:p>
    <w:p>
      <w:pPr>
        <w:pStyle w:val="FirstParagraph"/>
      </w:pPr>
      <w:r>
        <w:t xml:space="preserve">Management previously expected the Depop acquisition to close by the end of Q3. Based on that timing:</w:t>
      </w:r>
    </w:p>
    <w:p>
      <w:pPr>
        <w:pStyle w:val="Compact"/>
        <w:numPr>
          <w:ilvl w:val="0"/>
          <w:numId w:val="1009"/>
        </w:numPr>
      </w:pPr>
      <w:r>
        <w:t xml:space="preserve">Depop was expected to add approximately one percentage point to reported 2026 FX-neutral GMV growth.</w:t>
      </w:r>
    </w:p>
    <w:p>
      <w:pPr>
        <w:pStyle w:val="Compact"/>
        <w:numPr>
          <w:ilvl w:val="0"/>
          <w:numId w:val="1009"/>
        </w:numPr>
      </w:pPr>
      <w:r>
        <w:t xml:space="preserve">It was expected to create a low-single-digit headwind to operating-income growth.</w:t>
      </w:r>
    </w:p>
    <w:p>
      <w:pPr>
        <w:pStyle w:val="Compact"/>
        <w:numPr>
          <w:ilvl w:val="0"/>
          <w:numId w:val="1009"/>
        </w:numPr>
      </w:pPr>
      <w:r>
        <w:t xml:space="preserve">EPS dilution was expected to be slightly greater because of foregone interest income.</w:t>
      </w:r>
    </w:p>
    <w:p>
      <w:pPr>
        <w:pStyle w:val="FirstParagraph"/>
      </w:pPr>
      <w:r>
        <w:t xml:space="preserve">Regulatory timing, integration plans, and updated dilution will matter. The strategic rationale is straightforward—Depop increases eBay’s relevance with younger fashion-recommerce users—but investors will want evidence that the purchase will accelerate growth without undermining eBay’s improving earnings profile.</w:t>
      </w:r>
    </w:p>
    <w:bookmarkEnd w:id="20"/>
    <w:bookmarkEnd w:id="21"/>
    <w:bookmarkStart w:id="22" w:name="Xc8b168bf33410fcb13f04f697ecc28f8db8a16a"/>
    <w:p>
      <w:pPr>
        <w:pStyle w:val="Heading2"/>
      </w:pPr>
      <w:r>
        <w:t xml:space="preserve">Capital allocation and event-driven considerations</w:t>
      </w:r>
    </w:p>
    <w:p>
      <w:pPr>
        <w:pStyle w:val="FirstParagraph"/>
      </w:pPr>
      <w:r>
        <w:t xml:space="preserve">eBay repurchased $500 million of stock in Q1 at an average price of approximately $90 and maintained a roughly $2 billion full-year repurchase target. With the shares now above $109, incremental buybacks are less accretive than they were earlier in the year, although continued share-count reduction should still support EPS.</w:t>
      </w:r>
    </w:p>
    <w:p>
      <w:pPr>
        <w:pStyle w:val="BodyText"/>
      </w:pPr>
      <w:r>
        <w:t xml:space="preserve">The stock closed August 4 at</w:t>
      </w:r>
      <w:r>
        <w:t xml:space="preserve"> </w:t>
      </w:r>
      <w:r>
        <w:rPr>
          <w:b/>
          <w:bCs/>
        </w:rPr>
        <w:t xml:space="preserve">$109.64</w:t>
      </w:r>
      <w:r>
        <w:t xml:space="preserve">, approximately:</w:t>
      </w:r>
    </w:p>
    <w:p>
      <w:pPr>
        <w:pStyle w:val="Compact"/>
        <w:numPr>
          <w:ilvl w:val="0"/>
          <w:numId w:val="1010"/>
        </w:numPr>
      </w:pPr>
      <w:r>
        <w:rPr>
          <w:b/>
          <w:bCs/>
        </w:rPr>
        <w:t xml:space="preserve">26% above</w:t>
      </w:r>
      <w:r>
        <w:t xml:space="preserve"> </w:t>
      </w:r>
      <w:r>
        <w:t xml:space="preserve">its December 31, 2025 close.</w:t>
      </w:r>
    </w:p>
    <w:p>
      <w:pPr>
        <w:pStyle w:val="Compact"/>
        <w:numPr>
          <w:ilvl w:val="0"/>
          <w:numId w:val="1010"/>
        </w:numPr>
      </w:pPr>
      <w:r>
        <w:rPr>
          <w:b/>
          <w:bCs/>
        </w:rPr>
        <w:t xml:space="preserve">6% above</w:t>
      </w:r>
      <w:r>
        <w:t xml:space="preserve"> </w:t>
      </w:r>
      <w:r>
        <w:t xml:space="preserve">its April 29 Q1 earnings-day close.</w:t>
      </w:r>
    </w:p>
    <w:p>
      <w:pPr>
        <w:pStyle w:val="Compact"/>
        <w:numPr>
          <w:ilvl w:val="0"/>
          <w:numId w:val="1010"/>
        </w:numPr>
      </w:pPr>
      <w:r>
        <w:rPr>
          <w:b/>
          <w:bCs/>
        </w:rPr>
        <w:t xml:space="preserve">7% below</w:t>
      </w:r>
      <w:r>
        <w:t xml:space="preserve"> </w:t>
      </w:r>
      <w:r>
        <w:t xml:space="preserve">its July high.</w:t>
      </w:r>
    </w:p>
    <w:p>
      <w:pPr>
        <w:pStyle w:val="FirstParagraph"/>
      </w:pPr>
      <w:r>
        <w:t xml:space="preserve">The elevated share price leaves less room for a merely in-line report.</w:t>
      </w:r>
    </w:p>
    <w:p>
      <w:pPr>
        <w:pStyle w:val="BodyText"/>
      </w:pPr>
      <w:r>
        <w:t xml:space="preserve">There is also an event-driven overlay: eBay rejected GameStop’s unsolicited $56 billion proposal on May 12 as neither credible nor attractive. Any update on takeover interest, shareholder engagement, or the board’s standalone value case could affect the stock independently of quarterly fundamentals.</w:t>
      </w:r>
    </w:p>
    <w:bookmarkEnd w:id="22"/>
    <w:bookmarkStart w:id="26" w:name="bull-base-and-bear-outcomes"/>
    <w:p>
      <w:pPr>
        <w:pStyle w:val="Heading2"/>
      </w:pPr>
      <w:r>
        <w:t xml:space="preserve">Bull, base, and bear outcomes</w:t>
      </w:r>
    </w:p>
    <w:bookmarkStart w:id="23" w:name="bull-case"/>
    <w:p>
      <w:pPr>
        <w:pStyle w:val="Heading3"/>
      </w:pPr>
      <w:r>
        <w:t xml:space="preserve">Bull case</w:t>
      </w:r>
    </w:p>
    <w:p>
      <w:pPr>
        <w:pStyle w:val="Compact"/>
        <w:numPr>
          <w:ilvl w:val="0"/>
          <w:numId w:val="1011"/>
        </w:numPr>
      </w:pPr>
      <w:r>
        <w:t xml:space="preserve">GMV and revenue exceed the high end.</w:t>
      </w:r>
    </w:p>
    <w:p>
      <w:pPr>
        <w:pStyle w:val="Compact"/>
        <w:numPr>
          <w:ilvl w:val="0"/>
          <w:numId w:val="1011"/>
        </w:numPr>
      </w:pPr>
      <w:r>
        <w:t xml:space="preserve">U.S. growth remains broad-based rather than collectibles-dependent.</w:t>
      </w:r>
    </w:p>
    <w:p>
      <w:pPr>
        <w:pStyle w:val="Compact"/>
        <w:numPr>
          <w:ilvl w:val="0"/>
          <w:numId w:val="1011"/>
        </w:numPr>
      </w:pPr>
      <w:r>
        <w:t xml:space="preserve">Advertising continues growing materially faster than GMV.</w:t>
      </w:r>
    </w:p>
    <w:p>
      <w:pPr>
        <w:pStyle w:val="Compact"/>
        <w:numPr>
          <w:ilvl w:val="0"/>
          <w:numId w:val="1011"/>
        </w:numPr>
      </w:pPr>
      <w:r>
        <w:t xml:space="preserve">Operating margin holds near or above 28%.</w:t>
      </w:r>
    </w:p>
    <w:p>
      <w:pPr>
        <w:pStyle w:val="Compact"/>
        <w:numPr>
          <w:ilvl w:val="0"/>
          <w:numId w:val="1011"/>
        </w:numPr>
      </w:pPr>
      <w:r>
        <w:t xml:space="preserve">Full-year core GMV and operating-income guidance is raised.</w:t>
      </w:r>
    </w:p>
    <w:p>
      <w:pPr>
        <w:pStyle w:val="Compact"/>
        <w:numPr>
          <w:ilvl w:val="0"/>
          <w:numId w:val="1011"/>
        </w:numPr>
      </w:pPr>
      <w:r>
        <w:t xml:space="preserve">Depop remains on schedule with manageable dilution.</w:t>
      </w:r>
    </w:p>
    <w:bookmarkEnd w:id="23"/>
    <w:bookmarkStart w:id="24" w:name="base-case"/>
    <w:p>
      <w:pPr>
        <w:pStyle w:val="Heading3"/>
      </w:pPr>
      <w:r>
        <w:t xml:space="preserve">Base case</w:t>
      </w:r>
    </w:p>
    <w:p>
      <w:pPr>
        <w:pStyle w:val="Compact"/>
        <w:numPr>
          <w:ilvl w:val="0"/>
          <w:numId w:val="1012"/>
        </w:numPr>
      </w:pPr>
      <w:r>
        <w:t xml:space="preserve">Revenue lands around $3.0 billion and EPS near</w:t>
      </w:r>
      <w:r>
        <w:t xml:space="preserve"> </w:t>
      </w:r>
      <m:oMath>
        <m:r>
          <m:t>1.50</m:t>
        </m:r>
        <m:r>
          <m:rPr>
            <m:sty m:val="p"/>
          </m:rPr>
          <m:t>–</m:t>
        </m:r>
      </m:oMath>
      <w:r>
        <w:t xml:space="preserve">1.52.</w:t>
      </w:r>
    </w:p>
    <w:p>
      <w:pPr>
        <w:pStyle w:val="Compact"/>
        <w:numPr>
          <w:ilvl w:val="0"/>
          <w:numId w:val="1012"/>
        </w:numPr>
      </w:pPr>
      <w:r>
        <w:t xml:space="preserve">GMV is in the upper half of guidance.</w:t>
      </w:r>
    </w:p>
    <w:p>
      <w:pPr>
        <w:pStyle w:val="Compact"/>
        <w:numPr>
          <w:ilvl w:val="0"/>
          <w:numId w:val="1012"/>
        </w:numPr>
      </w:pPr>
      <w:r>
        <w:t xml:space="preserve">Management reiterates the full-year outlook.</w:t>
      </w:r>
    </w:p>
    <w:p>
      <w:pPr>
        <w:pStyle w:val="Compact"/>
        <w:numPr>
          <w:ilvl w:val="0"/>
          <w:numId w:val="1012"/>
        </w:numPr>
      </w:pPr>
      <w:r>
        <w:t xml:space="preserve">U.S. momentum moderates but remains healthy; Europe stays soft.</w:t>
      </w:r>
    </w:p>
    <w:p>
      <w:pPr>
        <w:pStyle w:val="Compact"/>
        <w:numPr>
          <w:ilvl w:val="0"/>
          <w:numId w:val="1012"/>
        </w:numPr>
      </w:pPr>
      <w:r>
        <w:t xml:space="preserve">The stock reaction depends heavily on third-quarter guidance and July commentary.</w:t>
      </w:r>
    </w:p>
    <w:bookmarkEnd w:id="24"/>
    <w:bookmarkStart w:id="25" w:name="bear-case"/>
    <w:p>
      <w:pPr>
        <w:pStyle w:val="Heading3"/>
      </w:pPr>
      <w:r>
        <w:t xml:space="preserve">Bear case</w:t>
      </w:r>
    </w:p>
    <w:p>
      <w:pPr>
        <w:pStyle w:val="Compact"/>
        <w:numPr>
          <w:ilvl w:val="0"/>
          <w:numId w:val="1013"/>
        </w:numPr>
      </w:pPr>
      <w:r>
        <w:t xml:space="preserve">GMV comes in near the low end despite favorable FX.</w:t>
      </w:r>
    </w:p>
    <w:p>
      <w:pPr>
        <w:pStyle w:val="Compact"/>
        <w:numPr>
          <w:ilvl w:val="0"/>
          <w:numId w:val="1013"/>
        </w:numPr>
      </w:pPr>
      <w:r>
        <w:t xml:space="preserve">U.S. growth decelerates abruptly or category strength narrows.</w:t>
      </w:r>
    </w:p>
    <w:p>
      <w:pPr>
        <w:pStyle w:val="Compact"/>
        <w:numPr>
          <w:ilvl w:val="0"/>
          <w:numId w:val="1013"/>
        </w:numPr>
      </w:pPr>
      <w:r>
        <w:t xml:space="preserve">Advertising growth slows and shipping losses pressure margins.</w:t>
      </w:r>
    </w:p>
    <w:p>
      <w:pPr>
        <w:pStyle w:val="Compact"/>
        <w:numPr>
          <w:ilvl w:val="0"/>
          <w:numId w:val="1013"/>
        </w:numPr>
      </w:pPr>
      <w:r>
        <w:t xml:space="preserve">Management lowers or de-risks the second-half outlook.</w:t>
      </w:r>
    </w:p>
    <w:p>
      <w:pPr>
        <w:pStyle w:val="Compact"/>
        <w:numPr>
          <w:ilvl w:val="0"/>
          <w:numId w:val="1013"/>
        </w:numPr>
      </w:pPr>
      <w:r>
        <w:t xml:space="preserve">Depop closing is delayed or expected dilution increases.</w:t>
      </w:r>
    </w:p>
    <w:bookmarkEnd w:id="25"/>
    <w:bookmarkEnd w:id="26"/>
    <w:bookmarkStart w:id="27" w:name="bottom-line"/>
    <w:p>
      <w:pPr>
        <w:pStyle w:val="Heading2"/>
      </w:pPr>
      <w:r>
        <w:t xml:space="preserve">Bottom line</w:t>
      </w:r>
    </w:p>
    <w:p>
      <w:pPr>
        <w:pStyle w:val="FirstParagraph"/>
      </w:pPr>
      <w:r>
        <w:t xml:space="preserve">eBay appears positioned to deliver another quarter of strong year-over-year growth, but the market is already expecting results near the top of management’s ranges.</w:t>
      </w:r>
      <w:r>
        <w:t xml:space="preserve"> </w:t>
      </w:r>
      <w:r>
        <w:rPr>
          <w:b/>
          <w:bCs/>
        </w:rPr>
        <w:t xml:space="preserve">The real earnings event is the outlook, not the reported quarter.</w:t>
      </w:r>
    </w:p>
    <w:p>
      <w:pPr>
        <w:pStyle w:val="BodyText"/>
      </w:pPr>
      <w:r>
        <w:t xml:space="preserve">The highest-quality result would combine:</w:t>
      </w:r>
    </w:p>
    <w:p>
      <w:pPr>
        <w:pStyle w:val="Compact"/>
        <w:numPr>
          <w:ilvl w:val="0"/>
          <w:numId w:val="1014"/>
        </w:numPr>
      </w:pPr>
      <w:r>
        <w:t xml:space="preserve">Q2 GMV and revenue above the midpoint;</w:t>
      </w:r>
    </w:p>
    <w:p>
      <w:pPr>
        <w:pStyle w:val="Compact"/>
        <w:numPr>
          <w:ilvl w:val="0"/>
          <w:numId w:val="1014"/>
        </w:numPr>
      </w:pPr>
      <w:r>
        <w:t xml:space="preserve">Continued broad-based U.S. and focus-category strength;</w:t>
      </w:r>
    </w:p>
    <w:p>
      <w:pPr>
        <w:pStyle w:val="Compact"/>
        <w:numPr>
          <w:ilvl w:val="0"/>
          <w:numId w:val="1014"/>
        </w:numPr>
      </w:pPr>
      <w:r>
        <w:t xml:space="preserve">Advertising growth well above GMV;</w:t>
      </w:r>
    </w:p>
    <w:p>
      <w:pPr>
        <w:pStyle w:val="Compact"/>
        <w:numPr>
          <w:ilvl w:val="0"/>
          <w:numId w:val="1014"/>
        </w:numPr>
      </w:pPr>
      <w:r>
        <w:t xml:space="preserve">Operating margin around 28%; and</w:t>
      </w:r>
    </w:p>
    <w:p>
      <w:pPr>
        <w:pStyle w:val="Compact"/>
        <w:numPr>
          <w:ilvl w:val="0"/>
          <w:numId w:val="1014"/>
        </w:numPr>
      </w:pPr>
      <w:r>
        <w:t xml:space="preserve">At least maintained—and preferably increased—full-year guidance.</w:t>
      </w:r>
    </w:p>
    <w:p>
      <w:pPr>
        <w:pStyle w:val="FirstParagraph"/>
      </w:pPr>
      <w:r>
        <w:t xml:space="preserve">Given the stock’s roughly 26% year-to-date appreciation, a headline EPS beat without evidence that growth can remain healthy through the tougher second-half comparisons may not be enough.</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2026-08-05T01:19:21Z</dcterms:created>
  <dcterms:modified xsi:type="dcterms:W3CDTF">2026-08-05T01:19:21Z</dcterms:modified>
</cp:coreProperties>
</file>

<file path=docProps/custom.xml><?xml version="1.0" encoding="utf-8"?>
<Properties xmlns="http://schemas.openxmlformats.org/officeDocument/2006/custom-properties" xmlns:vt="http://schemas.openxmlformats.org/officeDocument/2006/docPropsVTypes"/>
</file>